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0C75" w14:textId="77777777" w:rsidR="005D5C62" w:rsidRDefault="005D5C62" w:rsidP="001C56CE">
      <w:pPr>
        <w:spacing w:after="0" w:line="240" w:lineRule="auto"/>
        <w:jc w:val="center"/>
        <w:rPr>
          <w:rFonts w:ascii="Times New Roman" w:eastAsia="Times New Roman" w:hAnsi="Times New Roman"/>
          <w:b/>
          <w:noProof/>
          <w:sz w:val="24"/>
          <w:szCs w:val="24"/>
          <w:lang w:val="ro-RO"/>
        </w:rPr>
      </w:pPr>
    </w:p>
    <w:p w14:paraId="02636A4D" w14:textId="77777777" w:rsidR="00AC4751" w:rsidRPr="00441706" w:rsidRDefault="00AC4751" w:rsidP="001C56CE">
      <w:pPr>
        <w:spacing w:after="0" w:line="240" w:lineRule="auto"/>
        <w:jc w:val="center"/>
        <w:rPr>
          <w:rFonts w:ascii="Times New Roman" w:eastAsia="Times New Roman" w:hAnsi="Times New Roman"/>
          <w:b/>
          <w:noProof/>
          <w:sz w:val="24"/>
          <w:szCs w:val="24"/>
          <w:lang w:val="ro-RO"/>
        </w:rPr>
      </w:pPr>
    </w:p>
    <w:p w14:paraId="318C92CB" w14:textId="77777777" w:rsidR="00001D2F" w:rsidRPr="00441706" w:rsidRDefault="00001D2F" w:rsidP="001C56CE">
      <w:pPr>
        <w:spacing w:after="0" w:line="240" w:lineRule="auto"/>
        <w:rPr>
          <w:rFonts w:ascii="Times New Roman" w:eastAsia="Times New Roman" w:hAnsi="Times New Roman"/>
          <w:b/>
          <w:noProof/>
          <w:sz w:val="24"/>
          <w:szCs w:val="24"/>
          <w:lang w:val="ro-RO"/>
        </w:rPr>
      </w:pPr>
    </w:p>
    <w:p w14:paraId="3EF1013F" w14:textId="77777777" w:rsidR="00A4714C" w:rsidRPr="00441706" w:rsidRDefault="00A4714C" w:rsidP="001C56CE">
      <w:pPr>
        <w:spacing w:after="0" w:line="240" w:lineRule="auto"/>
        <w:jc w:val="center"/>
        <w:rPr>
          <w:rFonts w:ascii="Times New Roman" w:eastAsia="Times New Roman" w:hAnsi="Times New Roman"/>
          <w:b/>
          <w:noProof/>
          <w:sz w:val="24"/>
          <w:szCs w:val="24"/>
          <w:lang w:val="ro-RO"/>
        </w:rPr>
      </w:pPr>
    </w:p>
    <w:p w14:paraId="5DF4BB92" w14:textId="61E8E6F4" w:rsidR="00924D7C" w:rsidRPr="00441706" w:rsidRDefault="00924D7C"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NOTĂ  DE  FUNDAMENTARE</w:t>
      </w:r>
    </w:p>
    <w:p w14:paraId="10CCAC6E" w14:textId="4C4A2B84" w:rsidR="0031651D" w:rsidRPr="00441706" w:rsidRDefault="00CE25FA"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l</w:t>
      </w:r>
      <w:r w:rsidR="0031651D" w:rsidRPr="00441706">
        <w:rPr>
          <w:rFonts w:ascii="Times New Roman" w:eastAsia="Times New Roman" w:hAnsi="Times New Roman"/>
          <w:b/>
          <w:noProof/>
          <w:sz w:val="24"/>
          <w:szCs w:val="24"/>
          <w:lang w:val="ro-RO"/>
        </w:rPr>
        <w:t>a Hotărârea Guvernului</w:t>
      </w:r>
    </w:p>
    <w:p w14:paraId="0F79FBE4" w14:textId="6EBC99F4" w:rsidR="008B44AC" w:rsidRPr="00441706" w:rsidRDefault="00BB3EB0" w:rsidP="001C56CE">
      <w:pPr>
        <w:spacing w:after="0" w:line="240" w:lineRule="auto"/>
        <w:jc w:val="center"/>
        <w:rPr>
          <w:rFonts w:ascii="Times New Roman" w:eastAsia="Times New Roman" w:hAnsi="Times New Roman"/>
          <w:b/>
          <w:bCs/>
          <w:noProof/>
          <w:sz w:val="24"/>
          <w:szCs w:val="24"/>
        </w:rPr>
      </w:pPr>
      <w:r w:rsidRPr="00441706">
        <w:rPr>
          <w:rFonts w:ascii="Times New Roman" w:eastAsia="Times New Roman" w:hAnsi="Times New Roman"/>
          <w:b/>
          <w:bCs/>
          <w:noProof/>
          <w:sz w:val="24"/>
          <w:szCs w:val="24"/>
          <w:lang w:val="ro-RO"/>
        </w:rPr>
        <w:t xml:space="preserve">privind </w:t>
      </w:r>
      <w:r w:rsidR="0088075A" w:rsidRPr="00441706">
        <w:rPr>
          <w:rFonts w:ascii="Times New Roman" w:eastAsia="Times New Roman" w:hAnsi="Times New Roman"/>
          <w:b/>
          <w:bCs/>
          <w:noProof/>
          <w:sz w:val="24"/>
          <w:szCs w:val="24"/>
          <w:lang w:val="ro-RO"/>
        </w:rPr>
        <w:t>fuziunea prin absorbție dintre</w:t>
      </w:r>
      <w:r w:rsidRPr="00441706">
        <w:rPr>
          <w:rFonts w:ascii="Times New Roman" w:eastAsia="Times New Roman" w:hAnsi="Times New Roman"/>
          <w:b/>
          <w:bCs/>
          <w:noProof/>
          <w:sz w:val="24"/>
          <w:szCs w:val="24"/>
        </w:rPr>
        <w:t xml:space="preserve"> Societatea de Administrare a Participațiilor în Energie SA</w:t>
      </w:r>
      <w:r w:rsidR="0088075A" w:rsidRPr="00441706">
        <w:rPr>
          <w:rFonts w:ascii="Times New Roman" w:eastAsia="Times New Roman" w:hAnsi="Times New Roman"/>
          <w:b/>
          <w:bCs/>
          <w:noProof/>
          <w:sz w:val="24"/>
          <w:szCs w:val="24"/>
        </w:rPr>
        <w:t xml:space="preserve"> (societate absorbantă) și Societatea Electrocenrale Grup SA (societate absorbită)</w:t>
      </w:r>
    </w:p>
    <w:p w14:paraId="596DD9A8" w14:textId="77777777" w:rsidR="00A4714C" w:rsidRPr="00441706" w:rsidRDefault="00A4714C" w:rsidP="001C56CE">
      <w:pPr>
        <w:spacing w:after="0" w:line="240" w:lineRule="auto"/>
        <w:jc w:val="center"/>
        <w:rPr>
          <w:rFonts w:ascii="Times New Roman" w:eastAsia="Times New Roman" w:hAnsi="Times New Roman"/>
          <w:b/>
          <w:noProof/>
          <w:sz w:val="24"/>
          <w:szCs w:val="24"/>
          <w:lang w:val="ro-RO"/>
        </w:rPr>
      </w:pPr>
    </w:p>
    <w:p w14:paraId="55C120EF" w14:textId="77777777" w:rsidR="000C10C0" w:rsidRPr="00441706" w:rsidRDefault="000C10C0" w:rsidP="001C56CE">
      <w:pPr>
        <w:spacing w:after="0" w:line="240" w:lineRule="auto"/>
        <w:jc w:val="both"/>
        <w:rPr>
          <w:rFonts w:ascii="Times New Roman" w:eastAsia="Times New Roman" w:hAnsi="Times New Roman"/>
          <w:b/>
          <w:noProof/>
          <w:sz w:val="24"/>
          <w:szCs w:val="24"/>
          <w:lang w:val="ro-RO"/>
        </w:rPr>
      </w:pPr>
    </w:p>
    <w:tbl>
      <w:tblPr>
        <w:tblW w:w="49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53"/>
        <w:gridCol w:w="1633"/>
        <w:gridCol w:w="854"/>
        <w:gridCol w:w="993"/>
        <w:gridCol w:w="854"/>
        <w:gridCol w:w="1010"/>
        <w:gridCol w:w="1124"/>
      </w:tblGrid>
      <w:tr w:rsidR="00924D7C" w:rsidRPr="00441706" w14:paraId="3C4ADFEE" w14:textId="77777777" w:rsidTr="00BE7A9F">
        <w:tc>
          <w:tcPr>
            <w:tcW w:w="5000" w:type="pct"/>
            <w:gridSpan w:val="8"/>
            <w:vAlign w:val="center"/>
          </w:tcPr>
          <w:p w14:paraId="6D19591F" w14:textId="77777777" w:rsidR="00924D7C" w:rsidRPr="00441706" w:rsidRDefault="00924D7C" w:rsidP="001C56CE">
            <w:pPr>
              <w:autoSpaceDE w:val="0"/>
              <w:autoSpaceDN w:val="0"/>
              <w:adjustRightInd w:val="0"/>
              <w:spacing w:after="0" w:line="240" w:lineRule="auto"/>
              <w:ind w:left="-567" w:firstLine="567"/>
              <w:jc w:val="center"/>
              <w:rPr>
                <w:rFonts w:ascii="Times New Roman" w:eastAsia="Times New Roman" w:hAnsi="Times New Roman"/>
                <w:b/>
                <w:noProof/>
                <w:sz w:val="24"/>
                <w:szCs w:val="24"/>
                <w:lang w:val="ro-RO"/>
              </w:rPr>
            </w:pPr>
          </w:p>
          <w:p w14:paraId="007CF479" w14:textId="77777777" w:rsidR="00924D7C" w:rsidRPr="00441706" w:rsidRDefault="00924D7C"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1</w:t>
            </w:r>
          </w:p>
          <w:p w14:paraId="54BB8353" w14:textId="77777777" w:rsidR="00924D7C" w:rsidRPr="00441706" w:rsidRDefault="00924D7C"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Titlul actului normativ</w:t>
            </w:r>
          </w:p>
          <w:p w14:paraId="38A9D7ED" w14:textId="77777777" w:rsidR="0031651D" w:rsidRPr="00441706" w:rsidRDefault="0031651D" w:rsidP="001C56CE">
            <w:pPr>
              <w:pStyle w:val="rvps1"/>
              <w:spacing w:before="0" w:beforeAutospacing="0" w:after="0" w:afterAutospacing="0"/>
              <w:jc w:val="center"/>
              <w:rPr>
                <w:rStyle w:val="rvts1"/>
                <w:b/>
                <w:noProof/>
                <w:lang w:val="ro-RO"/>
              </w:rPr>
            </w:pPr>
            <w:bookmarkStart w:id="0" w:name="do"/>
            <w:bookmarkEnd w:id="0"/>
          </w:p>
          <w:p w14:paraId="66CD7D0E" w14:textId="77777777" w:rsidR="000138BD" w:rsidRPr="00441706" w:rsidRDefault="000138BD" w:rsidP="001C56CE">
            <w:pPr>
              <w:pStyle w:val="rvps1"/>
              <w:spacing w:before="0" w:beforeAutospacing="0" w:after="0" w:afterAutospacing="0"/>
              <w:jc w:val="center"/>
              <w:rPr>
                <w:noProof/>
                <w:lang w:val="ro-RO"/>
              </w:rPr>
            </w:pPr>
            <w:r w:rsidRPr="00441706">
              <w:rPr>
                <w:rStyle w:val="rvts1"/>
                <w:noProof/>
                <w:lang w:val="ro-RO"/>
              </w:rPr>
              <w:t>HOTĂRÂRE</w:t>
            </w:r>
          </w:p>
          <w:p w14:paraId="7BA94B39" w14:textId="77777777" w:rsidR="0088075A" w:rsidRPr="00441706" w:rsidRDefault="009C529E" w:rsidP="001C56CE">
            <w:pPr>
              <w:spacing w:after="0" w:line="240" w:lineRule="auto"/>
              <w:jc w:val="both"/>
              <w:rPr>
                <w:rFonts w:ascii="Times New Roman" w:eastAsia="Times New Roman" w:hAnsi="Times New Roman"/>
                <w:noProof/>
                <w:sz w:val="24"/>
                <w:szCs w:val="24"/>
              </w:rPr>
            </w:pPr>
            <w:bookmarkStart w:id="1" w:name="_Hlk87878885"/>
            <w:r w:rsidRPr="00441706">
              <w:rPr>
                <w:rFonts w:ascii="Times New Roman" w:eastAsia="Times New Roman" w:hAnsi="Times New Roman"/>
                <w:noProof/>
                <w:sz w:val="24"/>
                <w:szCs w:val="24"/>
                <w:lang w:val="ro-RO"/>
              </w:rPr>
              <w:t xml:space="preserve">privind </w:t>
            </w:r>
            <w:r w:rsidR="0088075A" w:rsidRPr="00441706">
              <w:rPr>
                <w:rFonts w:ascii="Times New Roman" w:eastAsia="Times New Roman" w:hAnsi="Times New Roman"/>
                <w:noProof/>
                <w:sz w:val="24"/>
                <w:szCs w:val="24"/>
                <w:lang w:val="ro-RO"/>
              </w:rPr>
              <w:t>fuziunea prin absorbție dintre</w:t>
            </w:r>
            <w:r w:rsidR="0088075A" w:rsidRPr="00441706">
              <w:rPr>
                <w:rFonts w:ascii="Times New Roman" w:eastAsia="Times New Roman" w:hAnsi="Times New Roman"/>
                <w:noProof/>
                <w:sz w:val="24"/>
                <w:szCs w:val="24"/>
              </w:rPr>
              <w:t xml:space="preserve"> Societatea de Administrare a Participațiilor în Energie SA (societate absorbantă) și Societatea Electrocenrale Grup SA (societate absorbită)</w:t>
            </w:r>
          </w:p>
          <w:bookmarkEnd w:id="1"/>
          <w:p w14:paraId="01E15372" w14:textId="28B7C1BE" w:rsidR="00924D7C" w:rsidRPr="00441706" w:rsidRDefault="00924D7C" w:rsidP="001C56CE">
            <w:pPr>
              <w:spacing w:after="0" w:line="240" w:lineRule="auto"/>
              <w:jc w:val="both"/>
              <w:rPr>
                <w:rFonts w:ascii="Times New Roman" w:eastAsia="Times New Roman" w:hAnsi="Times New Roman"/>
                <w:bCs/>
                <w:noProof/>
                <w:sz w:val="24"/>
                <w:szCs w:val="24"/>
                <w:lang w:val="ro-RO"/>
              </w:rPr>
            </w:pPr>
          </w:p>
        </w:tc>
      </w:tr>
      <w:tr w:rsidR="00924D7C" w:rsidRPr="00441706" w14:paraId="5F4DFE42" w14:textId="77777777" w:rsidTr="00BE7A9F">
        <w:tc>
          <w:tcPr>
            <w:tcW w:w="5000" w:type="pct"/>
            <w:gridSpan w:val="8"/>
            <w:vAlign w:val="center"/>
          </w:tcPr>
          <w:p w14:paraId="1F7D8B0D"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p>
          <w:p w14:paraId="2E4C372F"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2-a</w:t>
            </w:r>
          </w:p>
          <w:p w14:paraId="3CEDC829"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Motiv</w:t>
            </w:r>
            <w:r w:rsidR="00110FD3" w:rsidRPr="00441706">
              <w:rPr>
                <w:rFonts w:ascii="Times New Roman" w:eastAsia="Times New Roman" w:hAnsi="Times New Roman"/>
                <w:b/>
                <w:noProof/>
                <w:sz w:val="24"/>
                <w:szCs w:val="24"/>
                <w:lang w:val="ro-RO"/>
              </w:rPr>
              <w:t xml:space="preserve">ul emiterii actului normativ </w:t>
            </w:r>
          </w:p>
          <w:p w14:paraId="0924AEAE"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p>
        </w:tc>
      </w:tr>
      <w:tr w:rsidR="00924D7C" w:rsidRPr="00441706" w14:paraId="787A95E9" w14:textId="77777777" w:rsidTr="00BE7A9F">
        <w:trPr>
          <w:trHeight w:val="1880"/>
        </w:trPr>
        <w:tc>
          <w:tcPr>
            <w:tcW w:w="1670" w:type="pct"/>
            <w:vAlign w:val="center"/>
          </w:tcPr>
          <w:p w14:paraId="4E201AE5" w14:textId="77777777" w:rsidR="00924D7C" w:rsidRPr="00441706" w:rsidRDefault="00110FD3" w:rsidP="001C56CE">
            <w:pPr>
              <w:spacing w:after="0" w:line="240" w:lineRule="auto"/>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2.1.</w:t>
            </w:r>
            <w:r w:rsidR="00924D7C" w:rsidRPr="00441706">
              <w:rPr>
                <w:rFonts w:ascii="Times New Roman" w:eastAsia="Times New Roman" w:hAnsi="Times New Roman"/>
                <w:b/>
                <w:noProof/>
                <w:sz w:val="24"/>
                <w:szCs w:val="24"/>
                <w:lang w:val="ro-RO"/>
              </w:rPr>
              <w:t>Descrierea situaţiei actuale</w:t>
            </w:r>
          </w:p>
        </w:tc>
        <w:tc>
          <w:tcPr>
            <w:tcW w:w="3330" w:type="pct"/>
            <w:gridSpan w:val="7"/>
            <w:vAlign w:val="center"/>
          </w:tcPr>
          <w:p w14:paraId="4D81FE76" w14:textId="085F23A1" w:rsidR="001C56CE" w:rsidRDefault="001C56CE" w:rsidP="001C56CE">
            <w:pPr>
              <w:spacing w:after="0" w:line="240" w:lineRule="auto"/>
              <w:ind w:right="-34"/>
              <w:jc w:val="both"/>
              <w:rPr>
                <w:rFonts w:ascii="Times New Roman" w:hAnsi="Times New Roman"/>
                <w:sz w:val="24"/>
                <w:szCs w:val="24"/>
              </w:rPr>
            </w:pPr>
            <w:proofErr w:type="spellStart"/>
            <w:r w:rsidRPr="001C56CE">
              <w:rPr>
                <w:rFonts w:ascii="Times New Roman" w:hAnsi="Times New Roman"/>
                <w:color w:val="000000"/>
                <w:sz w:val="24"/>
                <w:szCs w:val="24"/>
              </w:rPr>
              <w:t>Legea</w:t>
            </w:r>
            <w:proofErr w:type="spellEnd"/>
            <w:r w:rsidRPr="001C56CE">
              <w:rPr>
                <w:rFonts w:ascii="Times New Roman" w:hAnsi="Times New Roman"/>
                <w:color w:val="000000"/>
                <w:sz w:val="24"/>
                <w:szCs w:val="24"/>
              </w:rPr>
              <w:t xml:space="preserve"> nr. 48/2025 </w:t>
            </w:r>
            <w:proofErr w:type="spellStart"/>
            <w:r w:rsidRPr="001C56CE">
              <w:rPr>
                <w:rFonts w:ascii="Times New Roman" w:hAnsi="Times New Roman"/>
                <w:color w:val="000000"/>
                <w:sz w:val="24"/>
                <w:szCs w:val="24"/>
              </w:rPr>
              <w:t>privind</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aprobarea</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Politicii</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publice</w:t>
            </w:r>
            <w:proofErr w:type="spellEnd"/>
            <w:r w:rsidRPr="001C56CE">
              <w:rPr>
                <w:rFonts w:ascii="Times New Roman" w:hAnsi="Times New Roman"/>
                <w:color w:val="000000"/>
                <w:sz w:val="24"/>
                <w:szCs w:val="24"/>
              </w:rPr>
              <w:t xml:space="preserve"> de </w:t>
            </w:r>
            <w:proofErr w:type="spellStart"/>
            <w:r w:rsidRPr="001C56CE">
              <w:rPr>
                <w:rFonts w:ascii="Times New Roman" w:hAnsi="Times New Roman"/>
                <w:color w:val="000000"/>
                <w:sz w:val="24"/>
                <w:szCs w:val="24"/>
              </w:rPr>
              <w:t>proprietate</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privata</w:t>
            </w:r>
            <w:proofErr w:type="spellEnd"/>
            <w:r w:rsidRPr="001C56CE">
              <w:rPr>
                <w:rFonts w:ascii="Times New Roman" w:hAnsi="Times New Roman"/>
                <w:color w:val="000000"/>
                <w:sz w:val="24"/>
                <w:szCs w:val="24"/>
              </w:rPr>
              <w:t xml:space="preserve"> a </w:t>
            </w:r>
            <w:proofErr w:type="spellStart"/>
            <w:r w:rsidRPr="001C56CE">
              <w:rPr>
                <w:rFonts w:ascii="Times New Roman" w:hAnsi="Times New Roman"/>
                <w:color w:val="000000"/>
                <w:sz w:val="24"/>
                <w:szCs w:val="24"/>
              </w:rPr>
              <w:t>statului</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stabileste</w:t>
            </w:r>
            <w:proofErr w:type="spellEnd"/>
            <w:r w:rsidRPr="001C56CE">
              <w:rPr>
                <w:rFonts w:ascii="Times New Roman" w:hAnsi="Times New Roman"/>
                <w:color w:val="000000"/>
                <w:sz w:val="24"/>
                <w:szCs w:val="24"/>
              </w:rPr>
              <w:t xml:space="preserve"> la art.II.4.3.1 - </w:t>
            </w:r>
            <w:proofErr w:type="spellStart"/>
            <w:r w:rsidRPr="001C56CE">
              <w:rPr>
                <w:rFonts w:ascii="Times New Roman" w:hAnsi="Times New Roman"/>
                <w:i/>
                <w:color w:val="000000"/>
                <w:sz w:val="24"/>
                <w:szCs w:val="24"/>
              </w:rPr>
              <w:t>Crearea</w:t>
            </w:r>
            <w:proofErr w:type="spellEnd"/>
            <w:r w:rsidRPr="001C56CE">
              <w:rPr>
                <w:rFonts w:ascii="Times New Roman" w:hAnsi="Times New Roman"/>
                <w:i/>
                <w:color w:val="000000"/>
                <w:sz w:val="24"/>
                <w:szCs w:val="24"/>
              </w:rPr>
              <w:t xml:space="preserve"> </w:t>
            </w:r>
            <w:proofErr w:type="spellStart"/>
            <w:r w:rsidRPr="001C56CE">
              <w:rPr>
                <w:rFonts w:ascii="Times New Roman" w:hAnsi="Times New Roman"/>
                <w:i/>
                <w:color w:val="000000"/>
                <w:sz w:val="24"/>
                <w:szCs w:val="24"/>
              </w:rPr>
              <w:t>unei</w:t>
            </w:r>
            <w:proofErr w:type="spellEnd"/>
            <w:r w:rsidRPr="001C56CE">
              <w:rPr>
                <w:rFonts w:ascii="Times New Roman" w:hAnsi="Times New Roman"/>
                <w:i/>
                <w:color w:val="000000"/>
                <w:sz w:val="24"/>
                <w:szCs w:val="24"/>
              </w:rPr>
              <w:t xml:space="preserve"> </w:t>
            </w:r>
            <w:proofErr w:type="spellStart"/>
            <w:r w:rsidRPr="001C56CE">
              <w:rPr>
                <w:rFonts w:ascii="Times New Roman" w:hAnsi="Times New Roman"/>
                <w:i/>
                <w:color w:val="000000"/>
                <w:sz w:val="24"/>
                <w:szCs w:val="24"/>
              </w:rPr>
              <w:t>structuri</w:t>
            </w:r>
            <w:proofErr w:type="spellEnd"/>
            <w:r w:rsidRPr="001C56CE">
              <w:rPr>
                <w:rFonts w:ascii="Times New Roman" w:hAnsi="Times New Roman"/>
                <w:i/>
                <w:color w:val="000000"/>
                <w:sz w:val="24"/>
                <w:szCs w:val="24"/>
              </w:rPr>
              <w:t xml:space="preserve"> </w:t>
            </w:r>
            <w:proofErr w:type="spellStart"/>
            <w:r w:rsidRPr="001C56CE">
              <w:rPr>
                <w:rFonts w:ascii="Times New Roman" w:hAnsi="Times New Roman"/>
                <w:i/>
                <w:color w:val="000000"/>
                <w:sz w:val="24"/>
                <w:szCs w:val="24"/>
              </w:rPr>
              <w:t>organizationale</w:t>
            </w:r>
            <w:proofErr w:type="spellEnd"/>
            <w:r w:rsidRPr="001C56CE">
              <w:rPr>
                <w:rFonts w:ascii="Times New Roman" w:hAnsi="Times New Roman"/>
                <w:i/>
                <w:color w:val="000000"/>
                <w:sz w:val="24"/>
                <w:szCs w:val="24"/>
              </w:rPr>
              <w:t xml:space="preserve"> competitive, </w:t>
            </w:r>
            <w:proofErr w:type="spellStart"/>
            <w:r w:rsidRPr="001C56CE">
              <w:rPr>
                <w:rFonts w:ascii="Times New Roman" w:hAnsi="Times New Roman"/>
                <w:color w:val="000000"/>
                <w:sz w:val="24"/>
                <w:szCs w:val="24"/>
              </w:rPr>
              <w:t>necesitatea</w:t>
            </w:r>
            <w:proofErr w:type="spellEnd"/>
            <w:r w:rsidRPr="001C56CE">
              <w:rPr>
                <w:rFonts w:ascii="Times New Roman" w:hAnsi="Times New Roman"/>
                <w:color w:val="000000"/>
                <w:sz w:val="24"/>
                <w:szCs w:val="24"/>
              </w:rPr>
              <w:t xml:space="preserve"> </w:t>
            </w:r>
            <w:proofErr w:type="spellStart"/>
            <w:r w:rsidRPr="001C56CE">
              <w:rPr>
                <w:rFonts w:ascii="Times New Roman" w:hAnsi="Times New Roman"/>
                <w:color w:val="000000"/>
                <w:sz w:val="24"/>
                <w:szCs w:val="24"/>
              </w:rPr>
              <w:t>organizării</w:t>
            </w:r>
            <w:proofErr w:type="spellEnd"/>
            <w:r w:rsidRPr="001C56CE">
              <w:rPr>
                <w:rFonts w:ascii="Times New Roman" w:hAnsi="Times New Roman"/>
                <w:i/>
                <w:color w:val="000000"/>
                <w:sz w:val="24"/>
                <w:szCs w:val="24"/>
              </w:rPr>
              <w:t xml:space="preserve"> </w:t>
            </w:r>
            <w:proofErr w:type="spellStart"/>
            <w:r w:rsidRPr="001C56CE">
              <w:rPr>
                <w:rFonts w:ascii="Times New Roman" w:hAnsi="Times New Roman"/>
                <w:color w:val="000000"/>
                <w:sz w:val="24"/>
                <w:szCs w:val="24"/>
              </w:rPr>
              <w:t>societăților</w:t>
            </w:r>
            <w:proofErr w:type="spellEnd"/>
            <w:r w:rsidRPr="001C56CE">
              <w:rPr>
                <w:rFonts w:ascii="Times New Roman" w:hAnsi="Times New Roman"/>
                <w:color w:val="000000"/>
                <w:sz w:val="24"/>
                <w:szCs w:val="24"/>
              </w:rPr>
              <w:t xml:space="preserve"> pe pri</w:t>
            </w:r>
            <w:r>
              <w:rPr>
                <w:rFonts w:ascii="Times New Roman" w:hAnsi="Times New Roman"/>
                <w:color w:val="000000"/>
                <w:sz w:val="24"/>
                <w:szCs w:val="24"/>
              </w:rPr>
              <w:t xml:space="preserve">ncipii </w:t>
            </w:r>
            <w:proofErr w:type="spellStart"/>
            <w:r>
              <w:rPr>
                <w:rFonts w:ascii="Times New Roman" w:hAnsi="Times New Roman"/>
                <w:color w:val="000000"/>
                <w:sz w:val="24"/>
                <w:szCs w:val="24"/>
              </w:rPr>
              <w:t>economice</w:t>
            </w:r>
            <w:proofErr w:type="spellEnd"/>
            <w:r>
              <w:rPr>
                <w:rFonts w:ascii="Times New Roman" w:hAnsi="Times New Roman"/>
                <w:color w:val="000000"/>
                <w:sz w:val="24"/>
                <w:szCs w:val="24"/>
              </w:rPr>
              <w:t xml:space="preserve"> si de </w:t>
            </w:r>
            <w:proofErr w:type="spellStart"/>
            <w:r>
              <w:rPr>
                <w:rFonts w:ascii="Times New Roman" w:hAnsi="Times New Roman"/>
                <w:color w:val="000000"/>
                <w:sz w:val="24"/>
                <w:szCs w:val="24"/>
              </w:rPr>
              <w:t>eficientă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condiții</w:t>
            </w:r>
            <w:proofErr w:type="spellEnd"/>
            <w:r>
              <w:rPr>
                <w:rFonts w:ascii="Times New Roman" w:hAnsi="Times New Roman"/>
                <w:sz w:val="24"/>
                <w:szCs w:val="24"/>
              </w:rPr>
              <w:t xml:space="preserve"> care </w:t>
            </w:r>
            <w:proofErr w:type="spellStart"/>
            <w:r>
              <w:rPr>
                <w:rFonts w:ascii="Times New Roman" w:hAnsi="Times New Roman"/>
                <w:sz w:val="24"/>
                <w:szCs w:val="24"/>
              </w:rPr>
              <w:t>să</w:t>
            </w:r>
            <w:proofErr w:type="spellEnd"/>
            <w:r>
              <w:rPr>
                <w:rFonts w:ascii="Times New Roman" w:hAnsi="Times New Roman"/>
                <w:sz w:val="24"/>
                <w:szCs w:val="24"/>
              </w:rPr>
              <w:t xml:space="preserve"> le </w:t>
            </w:r>
            <w:proofErr w:type="spellStart"/>
            <w:r>
              <w:rPr>
                <w:rFonts w:ascii="Times New Roman" w:hAnsi="Times New Roman"/>
                <w:sz w:val="24"/>
                <w:szCs w:val="24"/>
              </w:rPr>
              <w:t>permită</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își</w:t>
            </w:r>
            <w:proofErr w:type="spellEnd"/>
            <w:r>
              <w:rPr>
                <w:rFonts w:ascii="Times New Roman" w:hAnsi="Times New Roman"/>
                <w:sz w:val="24"/>
                <w:szCs w:val="24"/>
              </w:rPr>
              <w:t xml:space="preserve"> </w:t>
            </w:r>
            <w:proofErr w:type="spellStart"/>
            <w:r>
              <w:rPr>
                <w:rFonts w:ascii="Times New Roman" w:hAnsi="Times New Roman"/>
                <w:sz w:val="24"/>
                <w:szCs w:val="24"/>
              </w:rPr>
              <w:t>îndeplinească</w:t>
            </w:r>
            <w:proofErr w:type="spellEnd"/>
            <w:r w:rsidRPr="001C56CE">
              <w:rPr>
                <w:rFonts w:ascii="Times New Roman" w:hAnsi="Times New Roman"/>
                <w:sz w:val="24"/>
                <w:szCs w:val="24"/>
              </w:rPr>
              <w:t xml:space="preserve"> </w:t>
            </w:r>
            <w:proofErr w:type="spellStart"/>
            <w:r w:rsidRPr="001C56CE">
              <w:rPr>
                <w:rFonts w:ascii="Times New Roman" w:hAnsi="Times New Roman"/>
                <w:sz w:val="24"/>
                <w:szCs w:val="24"/>
              </w:rPr>
              <w:t>misiun</w:t>
            </w:r>
            <w:r>
              <w:rPr>
                <w:rFonts w:ascii="Times New Roman" w:hAnsi="Times New Roman"/>
                <w:sz w:val="24"/>
                <w:szCs w:val="24"/>
              </w:rPr>
              <w:t>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obligatiile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1C56CE">
              <w:rPr>
                <w:rFonts w:ascii="Times New Roman" w:hAnsi="Times New Roman"/>
                <w:sz w:val="24"/>
                <w:szCs w:val="24"/>
              </w:rPr>
              <w:t>n</w:t>
            </w:r>
            <w:proofErr w:type="spellEnd"/>
            <w:r w:rsidRPr="001C56CE">
              <w:rPr>
                <w:rFonts w:ascii="Times New Roman" w:hAnsi="Times New Roman"/>
                <w:sz w:val="24"/>
                <w:szCs w:val="24"/>
              </w:rPr>
              <w:t xml:space="preserve"> </w:t>
            </w:r>
            <w:proofErr w:type="spellStart"/>
            <w:r w:rsidRPr="001C56CE">
              <w:rPr>
                <w:rFonts w:ascii="Times New Roman" w:hAnsi="Times New Roman"/>
                <w:sz w:val="24"/>
                <w:szCs w:val="24"/>
              </w:rPr>
              <w:t>acest</w:t>
            </w:r>
            <w:proofErr w:type="spellEnd"/>
            <w:r w:rsidRPr="001C56CE">
              <w:rPr>
                <w:rFonts w:ascii="Times New Roman" w:hAnsi="Times New Roman"/>
                <w:sz w:val="24"/>
                <w:szCs w:val="24"/>
              </w:rPr>
              <w:t xml:space="preserve"> context, </w:t>
            </w:r>
            <w:proofErr w:type="spellStart"/>
            <w:r w:rsidRPr="001C56CE">
              <w:rPr>
                <w:rFonts w:ascii="Times New Roman" w:hAnsi="Times New Roman"/>
                <w:sz w:val="24"/>
                <w:szCs w:val="24"/>
              </w:rPr>
              <w:t>a</w:t>
            </w:r>
            <w:r>
              <w:rPr>
                <w:rFonts w:ascii="Times New Roman" w:hAnsi="Times New Roman"/>
                <w:sz w:val="24"/>
                <w:szCs w:val="24"/>
              </w:rPr>
              <w:t>utoritățile</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tutelare</w:t>
            </w:r>
            <w:proofErr w:type="spellEnd"/>
            <w:r>
              <w:rPr>
                <w:rFonts w:ascii="Times New Roman" w:hAnsi="Times New Roman"/>
                <w:sz w:val="24"/>
                <w:szCs w:val="24"/>
              </w:rPr>
              <w:t xml:space="preserv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dispună</w:t>
            </w:r>
            <w:proofErr w:type="spellEnd"/>
            <w:r>
              <w:rPr>
                <w:rFonts w:ascii="Times New Roman" w:hAnsi="Times New Roman"/>
                <w:sz w:val="24"/>
                <w:szCs w:val="24"/>
              </w:rPr>
              <w:t xml:space="preserve"> </w:t>
            </w:r>
            <w:proofErr w:type="spellStart"/>
            <w:r>
              <w:rPr>
                <w:rFonts w:ascii="Times New Roman" w:hAnsi="Times New Roman"/>
                <w:sz w:val="24"/>
                <w:szCs w:val="24"/>
              </w:rPr>
              <w:t>măsuri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reducerea</w:t>
            </w:r>
            <w:proofErr w:type="spellEnd"/>
            <w:r>
              <w:rPr>
                <w:rFonts w:ascii="Times New Roman" w:hAnsi="Times New Roman"/>
                <w:sz w:val="24"/>
                <w:szCs w:val="24"/>
              </w:rPr>
              <w:t xml:space="preserve"> </w:t>
            </w:r>
            <w:proofErr w:type="spellStart"/>
            <w:r>
              <w:rPr>
                <w:rFonts w:ascii="Times New Roman" w:hAnsi="Times New Roman"/>
                <w:sz w:val="24"/>
                <w:szCs w:val="24"/>
              </w:rPr>
              <w:t>numărului</w:t>
            </w:r>
            <w:proofErr w:type="spellEnd"/>
            <w:r>
              <w:rPr>
                <w:rFonts w:ascii="Times New Roman" w:hAnsi="Times New Roman"/>
                <w:sz w:val="24"/>
                <w:szCs w:val="24"/>
              </w:rPr>
              <w:t xml:space="preserve"> de </w:t>
            </w:r>
            <w:proofErr w:type="spellStart"/>
            <w:r>
              <w:rPr>
                <w:rFonts w:ascii="Times New Roman" w:hAnsi="Times New Roman"/>
                <w:sz w:val="24"/>
                <w:szCs w:val="24"/>
              </w:rPr>
              <w:t>î</w:t>
            </w:r>
            <w:r w:rsidRPr="001C56CE">
              <w:rPr>
                <w:rFonts w:ascii="Times New Roman" w:hAnsi="Times New Roman"/>
                <w:sz w:val="24"/>
                <w:szCs w:val="24"/>
              </w:rPr>
              <w:t>ntreprinderi</w:t>
            </w:r>
            <w:proofErr w:type="spellEnd"/>
            <w:r w:rsidRPr="001C56CE">
              <w:rPr>
                <w:rFonts w:ascii="Times New Roman" w:hAnsi="Times New Roman"/>
                <w:sz w:val="24"/>
                <w:szCs w:val="24"/>
              </w:rPr>
              <w:t xml:space="preserve"> </w:t>
            </w:r>
            <w:proofErr w:type="spellStart"/>
            <w:r w:rsidRPr="001C56CE">
              <w:rPr>
                <w:rFonts w:ascii="Times New Roman" w:hAnsi="Times New Roman"/>
                <w:sz w:val="24"/>
                <w:szCs w:val="24"/>
              </w:rPr>
              <w:t>publice</w:t>
            </w:r>
            <w:proofErr w:type="spellEnd"/>
            <w:r w:rsidRPr="001C56CE">
              <w:rPr>
                <w:rFonts w:ascii="Times New Roman" w:hAnsi="Times New Roman"/>
                <w:sz w:val="24"/>
                <w:szCs w:val="24"/>
              </w:rPr>
              <w:t xml:space="preserve"> din </w:t>
            </w:r>
            <w:proofErr w:type="spellStart"/>
            <w:r w:rsidRPr="001C56CE">
              <w:rPr>
                <w:rFonts w:ascii="Times New Roman" w:hAnsi="Times New Roman"/>
                <w:sz w:val="24"/>
                <w:szCs w:val="24"/>
              </w:rPr>
              <w:t>portofoliu</w:t>
            </w:r>
            <w:proofErr w:type="spellEnd"/>
            <w:r w:rsidRPr="001C56CE">
              <w:rPr>
                <w:rFonts w:ascii="Times New Roman" w:hAnsi="Times New Roman"/>
                <w:sz w:val="24"/>
                <w:szCs w:val="24"/>
              </w:rPr>
              <w:t xml:space="preserve"> </w:t>
            </w:r>
            <w:proofErr w:type="spellStart"/>
            <w:r w:rsidRPr="001C56CE">
              <w:rPr>
                <w:rFonts w:ascii="Times New Roman" w:hAnsi="Times New Roman"/>
                <w:sz w:val="24"/>
                <w:szCs w:val="24"/>
              </w:rPr>
              <w:t>acestora</w:t>
            </w:r>
            <w:proofErr w:type="spellEnd"/>
            <w:r w:rsidRPr="001C56CE">
              <w:rPr>
                <w:rFonts w:ascii="Times New Roman" w:hAnsi="Times New Roman"/>
                <w:sz w:val="24"/>
                <w:szCs w:val="24"/>
              </w:rPr>
              <w:t xml:space="preserve">, care au </w:t>
            </w:r>
            <w:proofErr w:type="spellStart"/>
            <w:r w:rsidRPr="001C56CE">
              <w:rPr>
                <w:rFonts w:ascii="Times New Roman" w:hAnsi="Times New Roman"/>
                <w:sz w:val="24"/>
                <w:szCs w:val="24"/>
              </w:rPr>
              <w:t>activita</w:t>
            </w:r>
            <w:r>
              <w:rPr>
                <w:rFonts w:ascii="Times New Roman" w:hAnsi="Times New Roman"/>
                <w:sz w:val="24"/>
                <w:szCs w:val="24"/>
              </w:rPr>
              <w:t>te</w:t>
            </w:r>
            <w:proofErr w:type="spellEnd"/>
            <w:r>
              <w:rPr>
                <w:rFonts w:ascii="Times New Roman" w:hAnsi="Times New Roman"/>
                <w:sz w:val="24"/>
                <w:szCs w:val="24"/>
              </w:rPr>
              <w:t xml:space="preserve"> de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Pr>
                <w:rFonts w:ascii="Times New Roman" w:hAnsi="Times New Roman"/>
                <w:sz w:val="24"/>
                <w:szCs w:val="24"/>
              </w:rPr>
              <w:t>redusă</w:t>
            </w:r>
            <w:proofErr w:type="spellEnd"/>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mic de </w:t>
            </w:r>
            <w:proofErr w:type="spellStart"/>
            <w:r>
              <w:rPr>
                <w:rFonts w:ascii="Times New Roman" w:hAnsi="Times New Roman"/>
                <w:sz w:val="24"/>
                <w:szCs w:val="24"/>
              </w:rPr>
              <w:t>salariaț</w:t>
            </w:r>
            <w:r w:rsidRPr="001C56CE">
              <w:rPr>
                <w:rFonts w:ascii="Times New Roman" w:hAnsi="Times New Roman"/>
                <w:sz w:val="24"/>
                <w:szCs w:val="24"/>
              </w:rPr>
              <w:t>i</w:t>
            </w:r>
            <w:proofErr w:type="spellEnd"/>
            <w:r w:rsidRPr="001C56CE">
              <w:rPr>
                <w:rFonts w:ascii="Times New Roman" w:hAnsi="Times New Roman"/>
                <w:sz w:val="24"/>
                <w:szCs w:val="24"/>
              </w:rPr>
              <w:t xml:space="preserve"> </w:t>
            </w:r>
            <w:proofErr w:type="spellStart"/>
            <w:r w:rsidRPr="001C56CE">
              <w:rPr>
                <w:rFonts w:ascii="Times New Roman" w:hAnsi="Times New Roman"/>
                <w:sz w:val="24"/>
                <w:szCs w:val="24"/>
              </w:rPr>
              <w:t>sau</w:t>
            </w:r>
            <w:proofErr w:type="spellEnd"/>
            <w:r w:rsidRPr="001C56CE">
              <w:rPr>
                <w:rFonts w:ascii="Times New Roman" w:hAnsi="Times New Roman"/>
                <w:sz w:val="24"/>
                <w:szCs w:val="24"/>
              </w:rPr>
              <w:t xml:space="preserve"> sunt </w:t>
            </w:r>
            <w:proofErr w:type="spellStart"/>
            <w:r w:rsidRPr="001C56CE">
              <w:rPr>
                <w:rFonts w:ascii="Times New Roman" w:hAnsi="Times New Roman"/>
                <w:sz w:val="24"/>
                <w:szCs w:val="24"/>
              </w:rPr>
              <w:t>neprofitabile</w:t>
            </w:r>
            <w:proofErr w:type="spellEnd"/>
            <w:r w:rsidRPr="001C56CE">
              <w:rPr>
                <w:rFonts w:ascii="Times New Roman" w:hAnsi="Times New Roman"/>
                <w:sz w:val="24"/>
                <w:szCs w:val="24"/>
              </w:rPr>
              <w:t xml:space="preserve">. </w:t>
            </w:r>
          </w:p>
          <w:p w14:paraId="346B6113" w14:textId="77777777" w:rsidR="001C56CE" w:rsidRDefault="001C56CE" w:rsidP="001C56CE">
            <w:pPr>
              <w:spacing w:after="0" w:line="240" w:lineRule="auto"/>
              <w:ind w:right="-34"/>
              <w:jc w:val="both"/>
              <w:rPr>
                <w:rFonts w:ascii="Times New Roman" w:hAnsi="Times New Roman"/>
                <w:sz w:val="24"/>
                <w:szCs w:val="24"/>
              </w:rPr>
            </w:pPr>
          </w:p>
          <w:p w14:paraId="3E6D9DFD"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Participațiilor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Energie S.A. (S.A.P.E. S.A.),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administrată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sistem</w:t>
            </w:r>
            <w:proofErr w:type="spellEnd"/>
            <w:r w:rsidRPr="00441706">
              <w:rPr>
                <w:rFonts w:ascii="Times New Roman" w:hAnsi="Times New Roman"/>
                <w:sz w:val="24"/>
                <w:szCs w:val="24"/>
              </w:rPr>
              <w:t xml:space="preserve"> dualist, a </w:t>
            </w:r>
            <w:proofErr w:type="spellStart"/>
            <w:r w:rsidRPr="00441706">
              <w:rPr>
                <w:rFonts w:ascii="Times New Roman" w:hAnsi="Times New Roman"/>
                <w:sz w:val="24"/>
                <w:szCs w:val="24"/>
              </w:rPr>
              <w:t>fost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constituită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divizarea</w:t>
            </w:r>
            <w:proofErr w:type="spellEnd"/>
            <w:r w:rsidRPr="00441706">
              <w:rPr>
                <w:rFonts w:ascii="Times New Roman" w:hAnsi="Times New Roman"/>
                <w:sz w:val="24"/>
                <w:szCs w:val="24"/>
              </w:rPr>
              <w:t xml:space="preserve"> S.C. DFEE – Electrica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conformitate</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proiectul</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divizare</w:t>
            </w:r>
            <w:proofErr w:type="spellEnd"/>
            <w:r w:rsidRPr="00441706">
              <w:rPr>
                <w:rFonts w:ascii="Times New Roman" w:hAnsi="Times New Roman"/>
                <w:sz w:val="24"/>
                <w:szCs w:val="24"/>
              </w:rPr>
              <w:t xml:space="preserve"> din data de 19.12.2013, </w:t>
            </w:r>
            <w:proofErr w:type="spellStart"/>
            <w:r w:rsidRPr="00441706">
              <w:rPr>
                <w:rFonts w:ascii="Times New Roman" w:hAnsi="Times New Roman"/>
                <w:sz w:val="24"/>
                <w:szCs w:val="24"/>
              </w:rPr>
              <w:t>publicat</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Electrica pe propria </w:t>
            </w:r>
            <w:proofErr w:type="spellStart"/>
            <w:r w:rsidRPr="00441706">
              <w:rPr>
                <w:rFonts w:ascii="Times New Roman" w:hAnsi="Times New Roman"/>
                <w:sz w:val="24"/>
                <w:szCs w:val="24"/>
              </w:rPr>
              <w:t>pagină</w:t>
            </w:r>
            <w:proofErr w:type="spellEnd"/>
            <w:r w:rsidRPr="00441706">
              <w:rPr>
                <w:rFonts w:ascii="Times New Roman" w:hAnsi="Times New Roman"/>
                <w:sz w:val="24"/>
                <w:szCs w:val="24"/>
              </w:rPr>
              <w:t xml:space="preserve"> web la data de 23.12.2013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conformitate</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prevederile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Hotărârii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Guvernului</w:t>
            </w:r>
            <w:proofErr w:type="spellEnd"/>
            <w:r w:rsidRPr="00441706">
              <w:rPr>
                <w:rFonts w:ascii="Times New Roman" w:hAnsi="Times New Roman"/>
                <w:sz w:val="24"/>
                <w:szCs w:val="24"/>
              </w:rPr>
              <w:t xml:space="preserve"> nr. 203/2014 </w:t>
            </w:r>
            <w:proofErr w:type="spellStart"/>
            <w:r w:rsidRPr="00441706">
              <w:rPr>
                <w:rFonts w:ascii="Times New Roman" w:hAnsi="Times New Roman"/>
                <w:sz w:val="24"/>
                <w:szCs w:val="24"/>
              </w:rPr>
              <w:t>privind</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modificarea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completarea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Hotărârii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Guvernului</w:t>
            </w:r>
            <w:proofErr w:type="spellEnd"/>
            <w:r w:rsidRPr="00441706">
              <w:rPr>
                <w:rFonts w:ascii="Times New Roman" w:hAnsi="Times New Roman"/>
                <w:sz w:val="24"/>
                <w:szCs w:val="24"/>
              </w:rPr>
              <w:t xml:space="preserve"> nr. 85/2013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aprobarea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strategiei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privatizare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ofertă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publică</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majorare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capitalului</w:t>
            </w:r>
            <w:proofErr w:type="spellEnd"/>
            <w:r w:rsidRPr="00441706">
              <w:rPr>
                <w:rFonts w:ascii="Times New Roman" w:hAnsi="Times New Roman"/>
                <w:sz w:val="24"/>
                <w:szCs w:val="24"/>
              </w:rPr>
              <w:t xml:space="preserve"> social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aport</w:t>
            </w:r>
            <w:proofErr w:type="spellEnd"/>
            <w:r w:rsidRPr="00441706">
              <w:rPr>
                <w:rFonts w:ascii="Times New Roman" w:hAnsi="Times New Roman"/>
                <w:sz w:val="24"/>
                <w:szCs w:val="24"/>
              </w:rPr>
              <w:t xml:space="preserve"> de capital </w:t>
            </w:r>
            <w:proofErr w:type="spellStart"/>
            <w:r w:rsidRPr="00441706">
              <w:rPr>
                <w:rFonts w:ascii="Times New Roman" w:hAnsi="Times New Roman"/>
                <w:sz w:val="24"/>
                <w:szCs w:val="24"/>
              </w:rPr>
              <w:t>privat</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Comerciale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Distribuție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Furnizare</w:t>
            </w:r>
            <w:proofErr w:type="spellEnd"/>
            <w:r w:rsidRPr="00441706">
              <w:rPr>
                <w:rFonts w:ascii="Times New Roman" w:hAnsi="Times New Roman"/>
                <w:sz w:val="24"/>
                <w:szCs w:val="24"/>
              </w:rPr>
              <w:t xml:space="preserve"> a Energiei </w:t>
            </w:r>
            <w:proofErr w:type="spellStart"/>
            <w:r w:rsidRPr="00441706">
              <w:rPr>
                <w:rFonts w:ascii="Times New Roman" w:hAnsi="Times New Roman"/>
                <w:sz w:val="24"/>
                <w:szCs w:val="24"/>
              </w:rPr>
              <w:t>Electrice</w:t>
            </w:r>
            <w:proofErr w:type="spellEnd"/>
            <w:r w:rsidRPr="00441706">
              <w:rPr>
                <w:rFonts w:ascii="Times New Roman" w:hAnsi="Times New Roman"/>
                <w:sz w:val="24"/>
                <w:szCs w:val="24"/>
              </w:rPr>
              <w:t xml:space="preserve"> „Electrica” S.A. </w:t>
            </w:r>
            <w:proofErr w:type="spellStart"/>
            <w:r w:rsidRPr="00441706">
              <w:rPr>
                <w:rFonts w:ascii="Times New Roman" w:hAnsi="Times New Roman"/>
                <w:sz w:val="24"/>
                <w:szCs w:val="24"/>
              </w:rPr>
              <w:t>București</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modificările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ulterioare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publicată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Monitorul Oficial al </w:t>
            </w:r>
            <w:proofErr w:type="spellStart"/>
            <w:r w:rsidRPr="00441706">
              <w:rPr>
                <w:rFonts w:ascii="Times New Roman" w:hAnsi="Times New Roman"/>
                <w:sz w:val="24"/>
                <w:szCs w:val="24"/>
              </w:rPr>
              <w:t>României</w:t>
            </w:r>
            <w:proofErr w:type="spellEnd"/>
            <w:r w:rsidRPr="00441706">
              <w:rPr>
                <w:rFonts w:ascii="Times New Roman" w:hAnsi="Times New Roman"/>
                <w:sz w:val="24"/>
                <w:szCs w:val="24"/>
              </w:rPr>
              <w:t xml:space="preserve"> nr. 147/19.03.2013,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fost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înregistrată</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Oficiul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Național</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Registrului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Comerțului</w:t>
            </w:r>
            <w:proofErr w:type="spellEnd"/>
            <w:r w:rsidRPr="00441706">
              <w:rPr>
                <w:rFonts w:ascii="Times New Roman" w:hAnsi="Times New Roman"/>
                <w:sz w:val="24"/>
                <w:szCs w:val="24"/>
              </w:rPr>
              <w:t xml:space="preserve"> la data de 07.05.2014.</w:t>
            </w:r>
          </w:p>
          <w:p w14:paraId="1677D392" w14:textId="77777777" w:rsidR="001C56CE" w:rsidRPr="00441706" w:rsidRDefault="001C56CE" w:rsidP="001C56CE">
            <w:pPr>
              <w:spacing w:after="0" w:line="240" w:lineRule="auto"/>
              <w:jc w:val="both"/>
              <w:rPr>
                <w:rFonts w:ascii="Times New Roman" w:hAnsi="Times New Roman"/>
                <w:sz w:val="24"/>
                <w:szCs w:val="24"/>
              </w:rPr>
            </w:pPr>
          </w:p>
          <w:p w14:paraId="3B46153E"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Electrocentrale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Grup</w:t>
            </w:r>
            <w:proofErr w:type="spellEnd"/>
            <w:r w:rsidRPr="00441706">
              <w:rPr>
                <w:rFonts w:ascii="Times New Roman" w:hAnsi="Times New Roman"/>
                <w:sz w:val="24"/>
                <w:szCs w:val="24"/>
              </w:rPr>
              <w:t xml:space="preserve"> S.A. a </w:t>
            </w:r>
            <w:proofErr w:type="spellStart"/>
            <w:r w:rsidRPr="00441706">
              <w:rPr>
                <w:rFonts w:ascii="Times New Roman" w:hAnsi="Times New Roman"/>
                <w:sz w:val="24"/>
                <w:szCs w:val="24"/>
              </w:rPr>
              <w:t>luat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ființă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divizarea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parțială</w:t>
            </w:r>
            <w:proofErr w:type="spellEnd"/>
            <w:r w:rsidRPr="00441706">
              <w:rPr>
                <w:rFonts w:ascii="Times New Roman" w:hAnsi="Times New Roman"/>
                <w:sz w:val="24"/>
                <w:szCs w:val="24"/>
              </w:rPr>
              <w:t xml:space="preserve"> a S.C. P.E.E.T. </w:t>
            </w:r>
            <w:proofErr w:type="spellStart"/>
            <w:r w:rsidRPr="00441706">
              <w:rPr>
                <w:rFonts w:ascii="Times New Roman" w:hAnsi="Times New Roman"/>
                <w:sz w:val="24"/>
                <w:szCs w:val="24"/>
              </w:rPr>
              <w:t>Termoelectrica</w:t>
            </w:r>
            <w:proofErr w:type="spellEnd"/>
            <w:r w:rsidRPr="00441706">
              <w:rPr>
                <w:rFonts w:ascii="Times New Roman" w:hAnsi="Times New Roman"/>
                <w:sz w:val="24"/>
                <w:szCs w:val="24"/>
              </w:rPr>
              <w:t xml:space="preserv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interesul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acționarilor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desprinderea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părții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viabile</w:t>
            </w:r>
            <w:proofErr w:type="spellEnd"/>
            <w:r w:rsidRPr="00441706">
              <w:rPr>
                <w:rFonts w:ascii="Times New Roman" w:hAnsi="Times New Roman"/>
                <w:sz w:val="24"/>
                <w:szCs w:val="24"/>
              </w:rPr>
              <w:t xml:space="preserve"> din </w:t>
            </w:r>
            <w:proofErr w:type="spellStart"/>
            <w:r w:rsidRPr="00441706">
              <w:rPr>
                <w:rFonts w:ascii="Times New Roman" w:hAnsi="Times New Roman"/>
                <w:sz w:val="24"/>
                <w:szCs w:val="24"/>
              </w:rPr>
              <w:t>patrimoniul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acesteia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temeiul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prevederilor</w:t>
            </w:r>
            <w:proofErr w:type="spellEnd"/>
            <w:r w:rsidRPr="00441706">
              <w:rPr>
                <w:rFonts w:ascii="Times New Roman" w:hAnsi="Times New Roman"/>
                <w:sz w:val="24"/>
                <w:szCs w:val="24"/>
              </w:rPr>
              <w:t xml:space="preserve"> art. 250^1 din </w:t>
            </w:r>
            <w:proofErr w:type="spellStart"/>
            <w:r w:rsidRPr="00441706">
              <w:rPr>
                <w:rFonts w:ascii="Times New Roman" w:hAnsi="Times New Roman"/>
                <w:sz w:val="24"/>
                <w:szCs w:val="24"/>
              </w:rPr>
              <w:t>Legea</w:t>
            </w:r>
            <w:proofErr w:type="spellEnd"/>
            <w:r w:rsidRPr="00441706">
              <w:rPr>
                <w:rFonts w:ascii="Times New Roman" w:hAnsi="Times New Roman"/>
                <w:sz w:val="24"/>
                <w:szCs w:val="24"/>
              </w:rPr>
              <w:t xml:space="preserve"> nr. 31/1990 </w:t>
            </w:r>
            <w:proofErr w:type="spellStart"/>
            <w:r w:rsidRPr="00441706">
              <w:rPr>
                <w:rFonts w:ascii="Times New Roman" w:hAnsi="Times New Roman"/>
                <w:sz w:val="24"/>
                <w:szCs w:val="24"/>
              </w:rPr>
              <w:t>privind</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republicată</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modificările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completările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lastRenderedPageBreak/>
              <w:t>ulterioare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conformitate</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prevederile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Proiectului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Divizare</w:t>
            </w:r>
            <w:proofErr w:type="spellEnd"/>
            <w:r w:rsidRPr="00441706">
              <w:rPr>
                <w:rFonts w:ascii="Times New Roman" w:hAnsi="Times New Roman"/>
                <w:sz w:val="24"/>
                <w:szCs w:val="24"/>
              </w:rPr>
              <w:t xml:space="preserve"> nr. 5.816/08.06.2012, </w:t>
            </w:r>
            <w:proofErr w:type="spellStart"/>
            <w:r w:rsidRPr="00441706">
              <w:rPr>
                <w:rFonts w:ascii="Times New Roman" w:hAnsi="Times New Roman"/>
                <w:sz w:val="24"/>
                <w:szCs w:val="24"/>
              </w:rPr>
              <w:t>aprobat</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Tribunalul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București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admis de </w:t>
            </w:r>
            <w:proofErr w:type="spellStart"/>
            <w:r w:rsidRPr="00441706">
              <w:rPr>
                <w:rFonts w:ascii="Times New Roman" w:hAnsi="Times New Roman"/>
                <w:sz w:val="24"/>
                <w:szCs w:val="24"/>
              </w:rPr>
              <w:t>Oficiul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Național</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Registrului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Comerțului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este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administrată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sistem</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unitar</w:t>
            </w:r>
            <w:proofErr w:type="spellEnd"/>
            <w:r w:rsidRPr="00441706">
              <w:rPr>
                <w:rFonts w:ascii="Times New Roman" w:hAnsi="Times New Roman"/>
                <w:sz w:val="24"/>
                <w:szCs w:val="24"/>
              </w:rPr>
              <w:t>.</w:t>
            </w:r>
          </w:p>
          <w:p w14:paraId="0DFC4E53" w14:textId="77777777" w:rsidR="001C56CE" w:rsidRPr="00441706" w:rsidRDefault="001C56CE" w:rsidP="001C56CE">
            <w:pPr>
              <w:spacing w:after="0" w:line="240" w:lineRule="auto"/>
              <w:jc w:val="both"/>
              <w:rPr>
                <w:rFonts w:ascii="Times New Roman" w:hAnsi="Times New Roman"/>
                <w:sz w:val="24"/>
                <w:szCs w:val="24"/>
              </w:rPr>
            </w:pPr>
          </w:p>
          <w:p w14:paraId="51828029" w14:textId="23558E13"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baza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prevederilor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Legii</w:t>
            </w:r>
            <w:proofErr w:type="spellEnd"/>
            <w:r w:rsidRPr="00441706">
              <w:rPr>
                <w:rFonts w:ascii="Times New Roman" w:hAnsi="Times New Roman"/>
                <w:sz w:val="24"/>
                <w:szCs w:val="24"/>
              </w:rPr>
              <w:t xml:space="preserve"> </w:t>
            </w:r>
            <w:proofErr w:type="spellStart"/>
            <w:r w:rsidR="001C56CE">
              <w:rPr>
                <w:rFonts w:ascii="Times New Roman" w:hAnsi="Times New Roman"/>
                <w:sz w:val="24"/>
                <w:szCs w:val="24"/>
              </w:rPr>
              <w:t>societășilor</w:t>
            </w:r>
            <w:proofErr w:type="spellEnd"/>
            <w:r w:rsidR="001C56CE">
              <w:rPr>
                <w:rFonts w:ascii="Times New Roman" w:hAnsi="Times New Roman"/>
                <w:sz w:val="24"/>
                <w:szCs w:val="24"/>
              </w:rPr>
              <w:t xml:space="preserve"> </w:t>
            </w:r>
            <w:r w:rsidRPr="00441706">
              <w:rPr>
                <w:rFonts w:ascii="Times New Roman" w:hAnsi="Times New Roman"/>
                <w:sz w:val="24"/>
                <w:szCs w:val="24"/>
              </w:rPr>
              <w:t xml:space="preserve">nr. 31/1990, </w:t>
            </w:r>
            <w:proofErr w:type="spellStart"/>
            <w:r w:rsidRPr="00441706">
              <w:rPr>
                <w:rFonts w:ascii="Times New Roman" w:hAnsi="Times New Roman"/>
                <w:sz w:val="24"/>
                <w:szCs w:val="24"/>
              </w:rPr>
              <w:t>republicată</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modificările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completările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ulterioare</w:t>
            </w:r>
            <w:proofErr w:type="spellEnd"/>
            <w:r w:rsidRPr="00441706">
              <w:rPr>
                <w:rFonts w:ascii="Times New Roman" w:hAnsi="Times New Roman"/>
                <w:sz w:val="24"/>
                <w:szCs w:val="24"/>
              </w:rPr>
              <w:t xml:space="preserve">, se </w:t>
            </w:r>
            <w:proofErr w:type="spellStart"/>
            <w:r w:rsidRPr="00441706">
              <w:rPr>
                <w:rFonts w:ascii="Times New Roman" w:hAnsi="Times New Roman"/>
                <w:sz w:val="24"/>
                <w:szCs w:val="24"/>
              </w:rPr>
              <w:t>propune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Participațiilor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Energie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calitate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Electrocentrale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Grup</w:t>
            </w:r>
            <w:proofErr w:type="spellEnd"/>
            <w:r w:rsidRPr="00441706">
              <w:rPr>
                <w:rFonts w:ascii="Times New Roman" w:hAnsi="Times New Roman"/>
                <w:sz w:val="24"/>
                <w:szCs w:val="24"/>
              </w:rPr>
              <w:t xml:space="preserv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calitate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absorbită</w:t>
            </w:r>
            <w:proofErr w:type="spellEnd"/>
            <w:r w:rsidRPr="00441706">
              <w:rPr>
                <w:rFonts w:ascii="Times New Roman" w:hAnsi="Times New Roman"/>
                <w:sz w:val="24"/>
                <w:szCs w:val="24"/>
              </w:rPr>
              <w:t>.</w:t>
            </w:r>
          </w:p>
          <w:p w14:paraId="24382813" w14:textId="77777777" w:rsidR="001C56CE" w:rsidRPr="00441706" w:rsidRDefault="001C56CE" w:rsidP="001C56CE">
            <w:pPr>
              <w:spacing w:after="0" w:line="240" w:lineRule="auto"/>
              <w:jc w:val="both"/>
              <w:rPr>
                <w:rFonts w:ascii="Times New Roman" w:hAnsi="Times New Roman"/>
                <w:sz w:val="24"/>
                <w:szCs w:val="24"/>
              </w:rPr>
            </w:pPr>
          </w:p>
          <w:p w14:paraId="284FB645" w14:textId="77777777" w:rsidR="00902E41" w:rsidRDefault="00902E41" w:rsidP="001C56CE">
            <w:pPr>
              <w:spacing w:after="0" w:line="240" w:lineRule="auto"/>
              <w:jc w:val="both"/>
              <w:rPr>
                <w:rFonts w:ascii="Times New Roman" w:hAnsi="Times New Roman"/>
                <w:sz w:val="24"/>
                <w:szCs w:val="24"/>
              </w:rPr>
            </w:pPr>
            <w:r w:rsidRPr="00441706">
              <w:rPr>
                <w:rFonts w:ascii="Times New Roman" w:hAnsi="Times New Roman"/>
                <w:sz w:val="24"/>
                <w:szCs w:val="24"/>
              </w:rPr>
              <w:t xml:space="preserve">Conform art. 238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următoarele</w:t>
            </w:r>
            <w:proofErr w:type="spellEnd"/>
            <w:r w:rsidRPr="00441706">
              <w:rPr>
                <w:rFonts w:ascii="Times New Roman" w:hAnsi="Times New Roman"/>
                <w:sz w:val="24"/>
                <w:szCs w:val="24"/>
              </w:rPr>
              <w:t xml:space="preserve"> din </w:t>
            </w:r>
            <w:proofErr w:type="spellStart"/>
            <w:r w:rsidRPr="00441706">
              <w:rPr>
                <w:rFonts w:ascii="Times New Roman" w:hAnsi="Times New Roman"/>
                <w:sz w:val="24"/>
                <w:szCs w:val="24"/>
              </w:rPr>
              <w:t>Legea</w:t>
            </w:r>
            <w:proofErr w:type="spellEnd"/>
            <w:r w:rsidRPr="00441706">
              <w:rPr>
                <w:rFonts w:ascii="Times New Roman" w:hAnsi="Times New Roman"/>
                <w:sz w:val="24"/>
                <w:szCs w:val="24"/>
              </w:rPr>
              <w:t xml:space="preserve"> nr. 31/1990, </w:t>
            </w:r>
            <w:proofErr w:type="spellStart"/>
            <w:r w:rsidRPr="00441706">
              <w:rPr>
                <w:rFonts w:ascii="Times New Roman" w:hAnsi="Times New Roman"/>
                <w:sz w:val="24"/>
                <w:szCs w:val="24"/>
              </w:rPr>
              <w:t>fuziunea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încetarea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existenței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juridice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absorbite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transmiterea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universală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patrimoniului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acesteia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schimbul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atribuirii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acțiuni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sau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părți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sociale</w:t>
            </w:r>
            <w:proofErr w:type="spellEnd"/>
            <w:r w:rsidRPr="00441706">
              <w:rPr>
                <w:rFonts w:ascii="Times New Roman" w:hAnsi="Times New Roman"/>
                <w:sz w:val="24"/>
                <w:szCs w:val="24"/>
              </w:rPr>
              <w:t xml:space="preserve"> ale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acționarii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absorbite</w:t>
            </w:r>
            <w:proofErr w:type="spellEnd"/>
            <w:r w:rsidRPr="00441706">
              <w:rPr>
                <w:rFonts w:ascii="Times New Roman" w:hAnsi="Times New Roman"/>
                <w:sz w:val="24"/>
                <w:szCs w:val="24"/>
              </w:rPr>
              <w:t>.</w:t>
            </w:r>
          </w:p>
          <w:p w14:paraId="19662B16" w14:textId="77777777" w:rsidR="001C56CE" w:rsidRPr="00441706" w:rsidRDefault="001C56CE" w:rsidP="001C56CE">
            <w:pPr>
              <w:spacing w:after="0" w:line="240" w:lineRule="auto"/>
              <w:jc w:val="both"/>
              <w:rPr>
                <w:rFonts w:ascii="Times New Roman" w:hAnsi="Times New Roman"/>
                <w:sz w:val="24"/>
                <w:szCs w:val="24"/>
              </w:rPr>
            </w:pPr>
          </w:p>
          <w:p w14:paraId="23255243"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propusă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este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oportună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întrucât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urmărește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reorganizarea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eficientizarea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cadrului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instituțional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operațional</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celor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două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w:t>
            </w:r>
            <w:proofErr w:type="spellEnd"/>
            <w:r w:rsidRPr="00441706">
              <w:rPr>
                <w:rFonts w:ascii="Times New Roman" w:hAnsi="Times New Roman"/>
                <w:sz w:val="24"/>
                <w:szCs w:val="24"/>
              </w:rPr>
              <w:t xml:space="preserve"> cu capital integral de stat,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reunirea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w:t>
            </w:r>
            <w:proofErr w:type="spellEnd"/>
            <w:r w:rsidRPr="00441706">
              <w:rPr>
                <w:rFonts w:ascii="Times New Roman" w:hAnsi="Times New Roman"/>
                <w:sz w:val="24"/>
                <w:szCs w:val="24"/>
              </w:rPr>
              <w:t xml:space="preserve">-o </w:t>
            </w:r>
            <w:proofErr w:type="spellStart"/>
            <w:r w:rsidRPr="00441706">
              <w:rPr>
                <w:rFonts w:ascii="Times New Roman" w:hAnsi="Times New Roman"/>
                <w:sz w:val="24"/>
                <w:szCs w:val="24"/>
              </w:rPr>
              <w:t>singură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entitate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unor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activități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complementare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eliminarea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suprapunerilor</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natură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funcțională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administrativă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decizională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Fuziunea</w:t>
            </w:r>
            <w:proofErr w:type="spellEnd"/>
            <w:r w:rsidRPr="00441706">
              <w:rPr>
                <w:rFonts w:ascii="Times New Roman" w:hAnsi="Times New Roman"/>
                <w:sz w:val="24"/>
                <w:szCs w:val="24"/>
              </w:rPr>
              <w:t xml:space="preserve"> are ca </w:t>
            </w:r>
            <w:proofErr w:type="spellStart"/>
            <w:r w:rsidRPr="00441706">
              <w:rPr>
                <w:rFonts w:ascii="Times New Roman" w:hAnsi="Times New Roman"/>
                <w:sz w:val="24"/>
                <w:szCs w:val="24"/>
              </w:rPr>
              <w:t>finalitate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consolidarea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capacității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economice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organizaționale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vederea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asigurării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guvernanțe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unitare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administrări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mai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eficiente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resurselor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mai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corelări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obligații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obiectivele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asumate</w:t>
            </w:r>
            <w:proofErr w:type="spellEnd"/>
            <w:r w:rsidRPr="00441706">
              <w:rPr>
                <w:rFonts w:ascii="Times New Roman" w:hAnsi="Times New Roman"/>
                <w:sz w:val="24"/>
                <w:szCs w:val="24"/>
              </w:rPr>
              <w:t>.</w:t>
            </w:r>
          </w:p>
          <w:p w14:paraId="7F8F97B9" w14:textId="77777777" w:rsidR="001C56CE" w:rsidRPr="00441706" w:rsidRDefault="001C56CE" w:rsidP="001C56CE">
            <w:pPr>
              <w:spacing w:after="0" w:line="240" w:lineRule="auto"/>
              <w:jc w:val="both"/>
              <w:rPr>
                <w:rFonts w:ascii="Times New Roman" w:hAnsi="Times New Roman"/>
                <w:sz w:val="24"/>
                <w:szCs w:val="24"/>
              </w:rPr>
            </w:pPr>
          </w:p>
          <w:p w14:paraId="7CA00BF8"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Scopul</w:t>
            </w:r>
            <w:proofErr w:type="spellEnd"/>
            <w:r w:rsidRPr="00441706">
              <w:rPr>
                <w:rFonts w:ascii="Times New Roman" w:hAnsi="Times New Roman"/>
                <w:sz w:val="24"/>
                <w:szCs w:val="24"/>
              </w:rPr>
              <w:t xml:space="preserve"> principal al </w:t>
            </w:r>
            <w:proofErr w:type="spellStart"/>
            <w:r w:rsidRPr="00441706">
              <w:rPr>
                <w:rFonts w:ascii="Times New Roman" w:hAnsi="Times New Roman"/>
                <w:sz w:val="24"/>
                <w:szCs w:val="24"/>
              </w:rPr>
              <w:t>operațiunii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constituie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crearea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viabile</w:t>
            </w:r>
            <w:proofErr w:type="spellEnd"/>
            <w:r w:rsidRPr="00441706">
              <w:rPr>
                <w:rFonts w:ascii="Times New Roman" w:hAnsi="Times New Roman"/>
                <w:sz w:val="24"/>
                <w:szCs w:val="24"/>
              </w:rPr>
              <w:t xml:space="preserve">, cu o </w:t>
            </w:r>
            <w:proofErr w:type="spellStart"/>
            <w:r w:rsidRPr="00441706">
              <w:rPr>
                <w:rFonts w:ascii="Times New Roman" w:hAnsi="Times New Roman"/>
                <w:sz w:val="24"/>
                <w:szCs w:val="24"/>
              </w:rPr>
              <w:t>bază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clară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cu o capacitate </w:t>
            </w:r>
            <w:proofErr w:type="spellStart"/>
            <w:r w:rsidRPr="00441706">
              <w:rPr>
                <w:rFonts w:ascii="Times New Roman" w:hAnsi="Times New Roman"/>
                <w:sz w:val="24"/>
                <w:szCs w:val="24"/>
              </w:rPr>
              <w:t>sporită</w:t>
            </w:r>
            <w:proofErr w:type="spellEnd"/>
            <w:r w:rsidRPr="00441706">
              <w:rPr>
                <w:rFonts w:ascii="Times New Roman" w:hAnsi="Times New Roman"/>
                <w:sz w:val="24"/>
                <w:szCs w:val="24"/>
              </w:rPr>
              <w:t xml:space="preserve"> de a-</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desfășura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activitatea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condiții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continuitate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predictibilitate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responsabilitate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managerială</w:t>
            </w:r>
            <w:proofErr w:type="spellEnd"/>
            <w:r w:rsidRPr="00441706">
              <w:rPr>
                <w:rFonts w:ascii="Times New Roman" w:hAnsi="Times New Roman"/>
                <w:sz w:val="24"/>
                <w:szCs w:val="24"/>
              </w:rPr>
              <w:t>.</w:t>
            </w:r>
          </w:p>
          <w:p w14:paraId="42BC7EE8" w14:textId="77777777" w:rsidR="001C56CE" w:rsidRPr="00441706" w:rsidRDefault="001C56CE" w:rsidP="001C56CE">
            <w:pPr>
              <w:spacing w:after="0" w:line="240" w:lineRule="auto"/>
              <w:jc w:val="both"/>
              <w:rPr>
                <w:rFonts w:ascii="Times New Roman" w:hAnsi="Times New Roman"/>
                <w:sz w:val="24"/>
                <w:szCs w:val="24"/>
              </w:rPr>
            </w:pPr>
          </w:p>
          <w:p w14:paraId="6A87BBAE"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Fuziunea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este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justificată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din </w:t>
            </w:r>
            <w:proofErr w:type="spellStart"/>
            <w:r w:rsidRPr="00441706">
              <w:rPr>
                <w:rFonts w:ascii="Times New Roman" w:hAnsi="Times New Roman"/>
                <w:sz w:val="24"/>
                <w:szCs w:val="24"/>
              </w:rPr>
              <w:t>perspectiva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interesului</w:t>
            </w:r>
            <w:proofErr w:type="spellEnd"/>
            <w:r w:rsidRPr="00441706">
              <w:rPr>
                <w:rFonts w:ascii="Times New Roman" w:hAnsi="Times New Roman"/>
                <w:sz w:val="24"/>
                <w:szCs w:val="24"/>
              </w:rPr>
              <w:t xml:space="preserve"> public, </w:t>
            </w:r>
            <w:proofErr w:type="spellStart"/>
            <w:r w:rsidRPr="00441706">
              <w:rPr>
                <w:rFonts w:ascii="Times New Roman" w:hAnsi="Times New Roman"/>
                <w:sz w:val="24"/>
                <w:szCs w:val="24"/>
              </w:rPr>
              <w:t>întrucât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contribuie</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eficientizarea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activității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operatorilor</w:t>
            </w:r>
            <w:proofErr w:type="spellEnd"/>
            <w:r w:rsidRPr="00441706">
              <w:rPr>
                <w:rFonts w:ascii="Times New Roman" w:hAnsi="Times New Roman"/>
                <w:sz w:val="24"/>
                <w:szCs w:val="24"/>
              </w:rPr>
              <w:t xml:space="preserve"> economici de stat, la </w:t>
            </w:r>
            <w:proofErr w:type="spellStart"/>
            <w:r w:rsidRPr="00441706">
              <w:rPr>
                <w:rFonts w:ascii="Times New Roman" w:hAnsi="Times New Roman"/>
                <w:sz w:val="24"/>
                <w:szCs w:val="24"/>
              </w:rPr>
              <w:t>simplificarea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raporturilor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juridice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economice</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terții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diminuarea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costurilor</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conformare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Totodată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creează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premisele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mai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valorificări</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resurselor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disponibile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ale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capacități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sporite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implementare</w:t>
            </w:r>
            <w:proofErr w:type="spellEnd"/>
            <w:r w:rsidRPr="00441706">
              <w:rPr>
                <w:rFonts w:ascii="Times New Roman" w:hAnsi="Times New Roman"/>
                <w:sz w:val="24"/>
                <w:szCs w:val="24"/>
              </w:rPr>
              <w:t xml:space="preserve"> </w:t>
            </w:r>
            <w:proofErr w:type="gramStart"/>
            <w:r w:rsidRPr="00441706">
              <w:rPr>
                <w:rFonts w:ascii="Times New Roman" w:hAnsi="Times New Roman"/>
                <w:sz w:val="24"/>
                <w:szCs w:val="24"/>
              </w:rPr>
              <w:t>a</w:t>
            </w:r>
            <w:proofErr w:type="gramEnd"/>
            <w:r w:rsidRPr="00441706">
              <w:rPr>
                <w:rFonts w:ascii="Times New Roman" w:hAnsi="Times New Roman"/>
                <w:sz w:val="24"/>
                <w:szCs w:val="24"/>
              </w:rPr>
              <w:t xml:space="preserve"> </w:t>
            </w:r>
            <w:proofErr w:type="spellStart"/>
            <w:r w:rsidRPr="00441706">
              <w:rPr>
                <w:rFonts w:ascii="Times New Roman" w:hAnsi="Times New Roman"/>
                <w:sz w:val="24"/>
                <w:szCs w:val="24"/>
              </w:rPr>
              <w:t>obiectivelor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operaționale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investiționale</w:t>
            </w:r>
            <w:proofErr w:type="spellEnd"/>
            <w:r w:rsidRPr="00441706">
              <w:rPr>
                <w:rFonts w:ascii="Times New Roman" w:hAnsi="Times New Roman"/>
                <w:sz w:val="24"/>
                <w:szCs w:val="24"/>
              </w:rPr>
              <w:t xml:space="preserve"> ale </w:t>
            </w:r>
            <w:proofErr w:type="spellStart"/>
            <w:r w:rsidRPr="00441706">
              <w:rPr>
                <w:rFonts w:ascii="Times New Roman" w:hAnsi="Times New Roman"/>
                <w:sz w:val="24"/>
                <w:szCs w:val="24"/>
              </w:rPr>
              <w:t>noii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entități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w:t>
            </w:r>
          </w:p>
          <w:p w14:paraId="545D56EF" w14:textId="77777777" w:rsidR="001C56CE" w:rsidRPr="00441706" w:rsidRDefault="001C56CE" w:rsidP="001C56CE">
            <w:pPr>
              <w:spacing w:after="0" w:line="240" w:lineRule="auto"/>
              <w:jc w:val="both"/>
              <w:rPr>
                <w:rFonts w:ascii="Times New Roman" w:hAnsi="Times New Roman"/>
                <w:sz w:val="24"/>
                <w:szCs w:val="24"/>
              </w:rPr>
            </w:pPr>
          </w:p>
          <w:p w14:paraId="3E754FBE"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Operațiunea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este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asemenea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coerentă</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angajamentele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asumate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Planul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Național</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Redresare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Reziliență,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special cu </w:t>
            </w:r>
            <w:proofErr w:type="spellStart"/>
            <w:r w:rsidRPr="00441706">
              <w:rPr>
                <w:rFonts w:ascii="Times New Roman" w:hAnsi="Times New Roman"/>
                <w:sz w:val="24"/>
                <w:szCs w:val="24"/>
              </w:rPr>
              <w:t>Ținta</w:t>
            </w:r>
            <w:proofErr w:type="spellEnd"/>
            <w:r w:rsidRPr="00441706">
              <w:rPr>
                <w:rFonts w:ascii="Times New Roman" w:hAnsi="Times New Roman"/>
                <w:sz w:val="24"/>
                <w:szCs w:val="24"/>
              </w:rPr>
              <w:t xml:space="preserve"> 443 din Componenta 14 – Buna </w:t>
            </w:r>
            <w:proofErr w:type="spellStart"/>
            <w:r w:rsidRPr="00441706">
              <w:rPr>
                <w:rFonts w:ascii="Times New Roman" w:hAnsi="Times New Roman"/>
                <w:sz w:val="24"/>
                <w:szCs w:val="24"/>
              </w:rPr>
              <w:t>guvernanță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care </w:t>
            </w:r>
            <w:proofErr w:type="spellStart"/>
            <w:r w:rsidRPr="00441706">
              <w:rPr>
                <w:rFonts w:ascii="Times New Roman" w:hAnsi="Times New Roman"/>
                <w:sz w:val="24"/>
                <w:szCs w:val="24"/>
              </w:rPr>
              <w:t>susține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procesul</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restructurare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consolidare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companiilor</w:t>
            </w:r>
            <w:proofErr w:type="spellEnd"/>
            <w:r w:rsidRPr="00441706">
              <w:rPr>
                <w:rFonts w:ascii="Times New Roman" w:hAnsi="Times New Roman"/>
                <w:sz w:val="24"/>
                <w:szCs w:val="24"/>
              </w:rPr>
              <w:t xml:space="preserve"> centrale de stat din </w:t>
            </w:r>
            <w:proofErr w:type="spellStart"/>
            <w:r w:rsidRPr="00441706">
              <w:rPr>
                <w:rFonts w:ascii="Times New Roman" w:hAnsi="Times New Roman"/>
                <w:sz w:val="24"/>
                <w:szCs w:val="24"/>
              </w:rPr>
              <w:t>sectoarele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vizate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vederea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întăririi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capacității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acestora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funcționare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îndeplinirii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obiectivelor</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reformă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asumate</w:t>
            </w:r>
            <w:proofErr w:type="spellEnd"/>
            <w:r w:rsidRPr="00441706">
              <w:rPr>
                <w:rFonts w:ascii="Times New Roman" w:hAnsi="Times New Roman"/>
                <w:sz w:val="24"/>
                <w:szCs w:val="24"/>
              </w:rPr>
              <w:t>.</w:t>
            </w:r>
          </w:p>
          <w:p w14:paraId="1BDCE1B3" w14:textId="77777777" w:rsidR="001C56CE" w:rsidRPr="00441706" w:rsidRDefault="001C56CE" w:rsidP="001C56CE">
            <w:pPr>
              <w:spacing w:after="0" w:line="240" w:lineRule="auto"/>
              <w:jc w:val="both"/>
              <w:rPr>
                <w:rFonts w:ascii="Times New Roman" w:hAnsi="Times New Roman"/>
                <w:sz w:val="24"/>
                <w:szCs w:val="24"/>
              </w:rPr>
            </w:pPr>
          </w:p>
          <w:p w14:paraId="2D29DD4E" w14:textId="77777777"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lastRenderedPageBreak/>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consecință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prezentul</w:t>
            </w:r>
            <w:proofErr w:type="spellEnd"/>
            <w:r w:rsidRPr="00441706">
              <w:rPr>
                <w:rFonts w:ascii="Times New Roman" w:hAnsi="Times New Roman"/>
                <w:sz w:val="24"/>
                <w:szCs w:val="24"/>
              </w:rPr>
              <w:t xml:space="preserve"> act </w:t>
            </w:r>
            <w:proofErr w:type="spellStart"/>
            <w:r w:rsidRPr="00441706">
              <w:rPr>
                <w:rFonts w:ascii="Times New Roman" w:hAnsi="Times New Roman"/>
                <w:sz w:val="24"/>
                <w:szCs w:val="24"/>
              </w:rPr>
              <w:t>normativ</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urmărește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mod </w:t>
            </w:r>
            <w:proofErr w:type="spellStart"/>
            <w:r w:rsidRPr="00441706">
              <w:rPr>
                <w:rFonts w:ascii="Times New Roman" w:hAnsi="Times New Roman"/>
                <w:sz w:val="24"/>
                <w:szCs w:val="24"/>
              </w:rPr>
              <w:t>prioritar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 xml:space="preserve"> ca instrument de </w:t>
            </w:r>
            <w:proofErr w:type="spellStart"/>
            <w:r w:rsidRPr="00441706">
              <w:rPr>
                <w:rFonts w:ascii="Times New Roman" w:hAnsi="Times New Roman"/>
                <w:sz w:val="24"/>
                <w:szCs w:val="24"/>
              </w:rPr>
              <w:t>reorganizare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structurală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consolidare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capacității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w:t>
            </w:r>
          </w:p>
          <w:p w14:paraId="03CB3F76" w14:textId="77777777" w:rsidR="001C56CE" w:rsidRPr="00441706" w:rsidRDefault="001C56CE" w:rsidP="001C56CE">
            <w:pPr>
              <w:spacing w:after="0" w:line="240" w:lineRule="auto"/>
              <w:jc w:val="both"/>
              <w:rPr>
                <w:rFonts w:ascii="Times New Roman" w:hAnsi="Times New Roman"/>
                <w:sz w:val="24"/>
                <w:szCs w:val="24"/>
              </w:rPr>
            </w:pPr>
          </w:p>
          <w:p w14:paraId="174E259A" w14:textId="274E4485" w:rsidR="00902E41"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Electrocentrale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Grup</w:t>
            </w:r>
            <w:proofErr w:type="spellEnd"/>
            <w:r w:rsidRPr="00441706">
              <w:rPr>
                <w:rFonts w:ascii="Times New Roman" w:hAnsi="Times New Roman"/>
                <w:sz w:val="24"/>
                <w:szCs w:val="24"/>
              </w:rPr>
              <w:t xml:space="preserve"> SA </w:t>
            </w:r>
            <w:proofErr w:type="spellStart"/>
            <w:r w:rsidRPr="00441706">
              <w:rPr>
                <w:rFonts w:ascii="Times New Roman" w:hAnsi="Times New Roman"/>
                <w:sz w:val="24"/>
                <w:szCs w:val="24"/>
              </w:rPr>
              <w:t>înregistrează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pierderi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istorice</w:t>
            </w:r>
            <w:proofErr w:type="spellEnd"/>
            <w:r w:rsidRPr="00441706">
              <w:rPr>
                <w:rFonts w:ascii="Times New Roman" w:hAnsi="Times New Roman"/>
                <w:sz w:val="24"/>
                <w:szCs w:val="24"/>
              </w:rPr>
              <w:t xml:space="preserve"> care </w:t>
            </w:r>
            <w:proofErr w:type="spellStart"/>
            <w:r w:rsidRPr="00441706">
              <w:rPr>
                <w:rFonts w:ascii="Times New Roman" w:hAnsi="Times New Roman"/>
                <w:sz w:val="24"/>
                <w:szCs w:val="24"/>
              </w:rPr>
              <w:t>afectează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semnificativ</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echilibrul</w:t>
            </w:r>
            <w:proofErr w:type="spellEnd"/>
            <w:r w:rsidRPr="00441706">
              <w:rPr>
                <w:rFonts w:ascii="Times New Roman" w:hAnsi="Times New Roman"/>
                <w:sz w:val="24"/>
                <w:szCs w:val="24"/>
              </w:rPr>
              <w:t xml:space="preserve"> patrimonial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capacitatea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dezvoltare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contextul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operațiunii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fuziune</w:t>
            </w:r>
            <w:proofErr w:type="spellEnd"/>
            <w:r w:rsidRPr="00441706">
              <w:rPr>
                <w:rFonts w:ascii="Times New Roman" w:hAnsi="Times New Roman"/>
                <w:sz w:val="24"/>
                <w:szCs w:val="24"/>
              </w:rPr>
              <w:t xml:space="preserve">, se </w:t>
            </w:r>
            <w:proofErr w:type="spellStart"/>
            <w:r w:rsidRPr="00441706">
              <w:rPr>
                <w:rFonts w:ascii="Times New Roman" w:hAnsi="Times New Roman"/>
                <w:sz w:val="24"/>
                <w:szCs w:val="24"/>
              </w:rPr>
              <w:t>impune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preluarea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Participațiilor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Energie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calitate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pierderilor</w:t>
            </w:r>
            <w:proofErr w:type="spellEnd"/>
            <w:r w:rsidRPr="00441706">
              <w:rPr>
                <w:rFonts w:ascii="Times New Roman" w:hAnsi="Times New Roman"/>
                <w:sz w:val="24"/>
                <w:szCs w:val="24"/>
              </w:rPr>
              <w:t xml:space="preserve"> </w:t>
            </w:r>
            <w:proofErr w:type="spellStart"/>
            <w:r w:rsidR="00441706" w:rsidRPr="00441706">
              <w:rPr>
                <w:rFonts w:ascii="Times New Roman" w:hAnsi="Times New Roman"/>
                <w:sz w:val="24"/>
                <w:szCs w:val="24"/>
              </w:rPr>
              <w:t>rămase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neacoperite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prin</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diminuarea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capitalului</w:t>
            </w:r>
            <w:proofErr w:type="spellEnd"/>
            <w:r w:rsidR="00441706" w:rsidRPr="00441706">
              <w:rPr>
                <w:rFonts w:ascii="Times New Roman" w:hAnsi="Times New Roman"/>
                <w:sz w:val="24"/>
                <w:szCs w:val="24"/>
              </w:rPr>
              <w:t xml:space="preserve"> social al </w:t>
            </w:r>
            <w:proofErr w:type="spellStart"/>
            <w:r w:rsidR="00441706" w:rsidRPr="00441706">
              <w:rPr>
                <w:rFonts w:ascii="Times New Roman" w:hAnsi="Times New Roman"/>
                <w:sz w:val="24"/>
                <w:szCs w:val="24"/>
              </w:rPr>
              <w:t>Societății</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Electrocentrale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Grup</w:t>
            </w:r>
            <w:proofErr w:type="spellEnd"/>
            <w:r w:rsidR="00441706" w:rsidRPr="00441706">
              <w:rPr>
                <w:rFonts w:ascii="Times New Roman" w:hAnsi="Times New Roman"/>
                <w:sz w:val="24"/>
                <w:szCs w:val="24"/>
              </w:rPr>
              <w:t xml:space="preserve"> SA </w:t>
            </w:r>
            <w:proofErr w:type="spellStart"/>
            <w:r w:rsidR="00441706" w:rsidRPr="00441706">
              <w:rPr>
                <w:rFonts w:ascii="Times New Roman" w:hAnsi="Times New Roman"/>
                <w:sz w:val="24"/>
                <w:szCs w:val="24"/>
              </w:rPr>
              <w:t>efectuată</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înaintea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fuziunii</w:t>
            </w:r>
            <w:proofErr w:type="spellEnd"/>
            <w:r w:rsidR="006B4EA0" w:rsidRPr="00441706">
              <w:rPr>
                <w:rFonts w:ascii="Times New Roman" w:hAnsi="Times New Roman"/>
                <w:sz w:val="24"/>
                <w:szCs w:val="24"/>
              </w:rPr>
              <w:t>,</w:t>
            </w:r>
            <w:r w:rsidRPr="00441706">
              <w:rPr>
                <w:rFonts w:ascii="Times New Roman" w:hAnsi="Times New Roman"/>
                <w:sz w:val="24"/>
                <w:szCs w:val="24"/>
              </w:rPr>
              <w:t xml:space="preserve"> </w:t>
            </w:r>
            <w:proofErr w:type="spellStart"/>
            <w:r w:rsidRPr="00441706">
              <w:rPr>
                <w:rFonts w:ascii="Times New Roman" w:hAnsi="Times New Roman"/>
                <w:sz w:val="24"/>
                <w:szCs w:val="24"/>
              </w:rPr>
              <w:t>potrivit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mecanismului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transmitere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universală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patrimoniului</w:t>
            </w:r>
            <w:proofErr w:type="spellEnd"/>
            <w:r w:rsidRPr="00441706">
              <w:rPr>
                <w:rFonts w:ascii="Times New Roman" w:hAnsi="Times New Roman"/>
                <w:sz w:val="24"/>
                <w:szCs w:val="24"/>
              </w:rPr>
              <w:t xml:space="preserve"> specific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w:t>
            </w:r>
            <w:r w:rsidR="001C56CE">
              <w:rPr>
                <w:rFonts w:ascii="Times New Roman" w:hAnsi="Times New Roman"/>
                <w:sz w:val="24"/>
                <w:szCs w:val="24"/>
              </w:rPr>
              <w:t xml:space="preserve"> </w:t>
            </w:r>
            <w:proofErr w:type="spellStart"/>
            <w:r w:rsidRPr="00441706">
              <w:rPr>
                <w:rFonts w:ascii="Times New Roman" w:hAnsi="Times New Roman"/>
                <w:sz w:val="24"/>
                <w:szCs w:val="24"/>
              </w:rPr>
              <w:t>Această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soluție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urmărește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asigurarea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continuității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activității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reflectarea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fidelă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situației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economico-financiare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după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Preluarea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pierderilor</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constituie</w:t>
            </w:r>
            <w:proofErr w:type="spellEnd"/>
            <w:r w:rsidRPr="00441706">
              <w:rPr>
                <w:rFonts w:ascii="Times New Roman" w:hAnsi="Times New Roman"/>
                <w:sz w:val="24"/>
                <w:szCs w:val="24"/>
              </w:rPr>
              <w:t xml:space="preserve"> o </w:t>
            </w:r>
            <w:proofErr w:type="spellStart"/>
            <w:r w:rsidRPr="00441706">
              <w:rPr>
                <w:rFonts w:ascii="Times New Roman" w:hAnsi="Times New Roman"/>
                <w:sz w:val="24"/>
                <w:szCs w:val="24"/>
              </w:rPr>
              <w:t>măsură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necesară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integrarea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mod </w:t>
            </w:r>
            <w:proofErr w:type="spellStart"/>
            <w:r w:rsidRPr="00441706">
              <w:rPr>
                <w:rFonts w:ascii="Times New Roman" w:hAnsi="Times New Roman"/>
                <w:sz w:val="24"/>
                <w:szCs w:val="24"/>
              </w:rPr>
              <w:t>unitar</w:t>
            </w:r>
            <w:proofErr w:type="spellEnd"/>
            <w:r w:rsidRPr="00441706">
              <w:rPr>
                <w:rFonts w:ascii="Times New Roman" w:hAnsi="Times New Roman"/>
                <w:sz w:val="24"/>
                <w:szCs w:val="24"/>
              </w:rPr>
              <w:t xml:space="preserve"> </w:t>
            </w:r>
            <w:proofErr w:type="gramStart"/>
            <w:r w:rsidRPr="00441706">
              <w:rPr>
                <w:rFonts w:ascii="Times New Roman" w:hAnsi="Times New Roman"/>
                <w:sz w:val="24"/>
                <w:szCs w:val="24"/>
              </w:rPr>
              <w:t>a</w:t>
            </w:r>
            <w:proofErr w:type="gramEnd"/>
            <w:r w:rsidRPr="00441706">
              <w:rPr>
                <w:rFonts w:ascii="Times New Roman" w:hAnsi="Times New Roman"/>
                <w:sz w:val="24"/>
                <w:szCs w:val="24"/>
              </w:rPr>
              <w:t xml:space="preserve"> </w:t>
            </w:r>
            <w:proofErr w:type="spellStart"/>
            <w:r w:rsidRPr="00441706">
              <w:rPr>
                <w:rFonts w:ascii="Times New Roman" w:hAnsi="Times New Roman"/>
                <w:sz w:val="24"/>
                <w:szCs w:val="24"/>
              </w:rPr>
              <w:t>activelor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pasivelor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patrimoniale</w:t>
            </w:r>
            <w:proofErr w:type="spellEnd"/>
            <w:r w:rsidRPr="00441706">
              <w:rPr>
                <w:rFonts w:ascii="Times New Roman" w:hAnsi="Times New Roman"/>
                <w:sz w:val="24"/>
                <w:szCs w:val="24"/>
              </w:rPr>
              <w:t xml:space="preserve"> ale </w:t>
            </w:r>
            <w:proofErr w:type="spellStart"/>
            <w:r w:rsidRPr="00441706">
              <w:rPr>
                <w:rFonts w:ascii="Times New Roman" w:hAnsi="Times New Roman"/>
                <w:sz w:val="24"/>
                <w:szCs w:val="24"/>
              </w:rPr>
              <w:t>celor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două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astfel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încât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noua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poată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funcționa</w:t>
            </w:r>
            <w:proofErr w:type="spellEnd"/>
            <w:r w:rsidRPr="00441706">
              <w:rPr>
                <w:rFonts w:ascii="Times New Roman" w:hAnsi="Times New Roman"/>
                <w:sz w:val="24"/>
                <w:szCs w:val="24"/>
              </w:rPr>
              <w:t xml:space="preserve"> pe </w:t>
            </w:r>
            <w:proofErr w:type="spellStart"/>
            <w:r w:rsidRPr="00441706">
              <w:rPr>
                <w:rFonts w:ascii="Times New Roman" w:hAnsi="Times New Roman"/>
                <w:sz w:val="24"/>
                <w:szCs w:val="24"/>
              </w:rPr>
              <w:t>baze</w:t>
            </w:r>
            <w:proofErr w:type="spellEnd"/>
            <w:r w:rsidRPr="00441706">
              <w:rPr>
                <w:rFonts w:ascii="Times New Roman" w:hAnsi="Times New Roman"/>
                <w:sz w:val="24"/>
                <w:szCs w:val="24"/>
              </w:rPr>
              <w:t xml:space="preserve"> consolidate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transparente</w:t>
            </w:r>
            <w:proofErr w:type="spellEnd"/>
            <w:r w:rsidRPr="00441706">
              <w:rPr>
                <w:rFonts w:ascii="Times New Roman" w:hAnsi="Times New Roman"/>
                <w:sz w:val="24"/>
                <w:szCs w:val="24"/>
              </w:rPr>
              <w:t>.</w:t>
            </w:r>
          </w:p>
          <w:p w14:paraId="00A77411" w14:textId="77777777" w:rsidR="001C56CE" w:rsidRPr="00441706" w:rsidRDefault="001C56CE" w:rsidP="001C56CE">
            <w:pPr>
              <w:spacing w:after="0" w:line="240" w:lineRule="auto"/>
              <w:jc w:val="both"/>
              <w:rPr>
                <w:rFonts w:ascii="Times New Roman" w:hAnsi="Times New Roman"/>
                <w:sz w:val="24"/>
                <w:szCs w:val="24"/>
              </w:rPr>
            </w:pPr>
          </w:p>
          <w:p w14:paraId="331C6A2C" w14:textId="77777777" w:rsidR="0044276C"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Preluarea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pierderilor</w:t>
            </w:r>
            <w:proofErr w:type="spellEnd"/>
            <w:r w:rsidR="006B4EA0" w:rsidRPr="00441706">
              <w:rPr>
                <w:rFonts w:ascii="Times New Roman" w:hAnsi="Times New Roman"/>
                <w:sz w:val="24"/>
                <w:szCs w:val="24"/>
              </w:rPr>
              <w:t xml:space="preserve"> </w:t>
            </w:r>
            <w:proofErr w:type="spellStart"/>
            <w:r w:rsidR="00441706" w:rsidRPr="00441706">
              <w:rPr>
                <w:rFonts w:ascii="Times New Roman" w:hAnsi="Times New Roman"/>
                <w:sz w:val="24"/>
                <w:szCs w:val="24"/>
              </w:rPr>
              <w:t>rămase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neacoperite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prin</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diminuarea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capitalului</w:t>
            </w:r>
            <w:proofErr w:type="spellEnd"/>
            <w:r w:rsidR="00441706" w:rsidRPr="00441706">
              <w:rPr>
                <w:rFonts w:ascii="Times New Roman" w:hAnsi="Times New Roman"/>
                <w:sz w:val="24"/>
                <w:szCs w:val="24"/>
              </w:rPr>
              <w:t xml:space="preserve"> social al </w:t>
            </w:r>
            <w:proofErr w:type="spellStart"/>
            <w:r w:rsidR="00441706" w:rsidRPr="00441706">
              <w:rPr>
                <w:rFonts w:ascii="Times New Roman" w:hAnsi="Times New Roman"/>
                <w:sz w:val="24"/>
                <w:szCs w:val="24"/>
              </w:rPr>
              <w:t>Societății</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Electrocentrale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Grup</w:t>
            </w:r>
            <w:proofErr w:type="spellEnd"/>
            <w:r w:rsidR="00441706" w:rsidRPr="00441706">
              <w:rPr>
                <w:rFonts w:ascii="Times New Roman" w:hAnsi="Times New Roman"/>
                <w:sz w:val="24"/>
                <w:szCs w:val="24"/>
              </w:rPr>
              <w:t xml:space="preserve"> SA </w:t>
            </w:r>
            <w:proofErr w:type="spellStart"/>
            <w:r w:rsidR="00441706" w:rsidRPr="00441706">
              <w:rPr>
                <w:rFonts w:ascii="Times New Roman" w:hAnsi="Times New Roman"/>
                <w:sz w:val="24"/>
                <w:szCs w:val="24"/>
              </w:rPr>
              <w:t>efectuată</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înaintea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fuziunii</w:t>
            </w:r>
            <w:proofErr w:type="spellEnd"/>
            <w:r w:rsidR="006B4EA0" w:rsidRPr="00441706">
              <w:rPr>
                <w:rFonts w:ascii="Times New Roman" w:hAnsi="Times New Roman"/>
                <w:sz w:val="24"/>
                <w:szCs w:val="24"/>
              </w:rPr>
              <w:t>,</w:t>
            </w:r>
            <w:r w:rsidRPr="00441706">
              <w:rPr>
                <w:rFonts w:ascii="Times New Roman" w:hAnsi="Times New Roman"/>
                <w:sz w:val="24"/>
                <w:szCs w:val="24"/>
              </w:rPr>
              <w:t xml:space="preserve"> nu </w:t>
            </w:r>
            <w:proofErr w:type="spellStart"/>
            <w:r w:rsidRPr="00441706">
              <w:rPr>
                <w:rFonts w:ascii="Times New Roman" w:hAnsi="Times New Roman"/>
                <w:sz w:val="24"/>
                <w:szCs w:val="24"/>
              </w:rPr>
              <w:t>reprezintă</w:t>
            </w:r>
            <w:proofErr w:type="spellEnd"/>
            <w:r w:rsidRPr="00441706">
              <w:rPr>
                <w:rFonts w:ascii="Times New Roman" w:hAnsi="Times New Roman"/>
                <w:sz w:val="24"/>
                <w:szCs w:val="24"/>
              </w:rPr>
              <w:t xml:space="preserve"> un scop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sine, ci o </w:t>
            </w:r>
            <w:proofErr w:type="spellStart"/>
            <w:r w:rsidRPr="00441706">
              <w:rPr>
                <w:rFonts w:ascii="Times New Roman" w:hAnsi="Times New Roman"/>
                <w:sz w:val="24"/>
                <w:szCs w:val="24"/>
              </w:rPr>
              <w:t>consecință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o </w:t>
            </w:r>
            <w:proofErr w:type="spellStart"/>
            <w:r w:rsidRPr="00441706">
              <w:rPr>
                <w:rFonts w:ascii="Times New Roman" w:hAnsi="Times New Roman"/>
                <w:sz w:val="24"/>
                <w:szCs w:val="24"/>
              </w:rPr>
              <w:t>componentă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necesară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reorganizării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menită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asigure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coerența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situația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financiară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existentă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efectele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juridice</w:t>
            </w:r>
            <w:proofErr w:type="spellEnd"/>
            <w:r w:rsidRPr="00441706">
              <w:rPr>
                <w:rFonts w:ascii="Times New Roman" w:hAnsi="Times New Roman"/>
                <w:sz w:val="24"/>
                <w:szCs w:val="24"/>
              </w:rPr>
              <w:t xml:space="preserve"> ale </w:t>
            </w:r>
            <w:proofErr w:type="spellStart"/>
            <w:r w:rsidRPr="00441706">
              <w:rPr>
                <w:rFonts w:ascii="Times New Roman" w:hAnsi="Times New Roman"/>
                <w:sz w:val="24"/>
                <w:szCs w:val="24"/>
              </w:rPr>
              <w:t>operațiunii</w:t>
            </w:r>
            <w:proofErr w:type="spellEnd"/>
            <w:r w:rsidRPr="00441706">
              <w:rPr>
                <w:rFonts w:ascii="Times New Roman" w:hAnsi="Times New Roman"/>
                <w:sz w:val="24"/>
                <w:szCs w:val="24"/>
              </w:rPr>
              <w:t>.</w:t>
            </w:r>
          </w:p>
          <w:p w14:paraId="05D5DC8C" w14:textId="172C964B" w:rsidR="001C56CE" w:rsidRPr="00441706" w:rsidRDefault="001C56CE" w:rsidP="001C56CE">
            <w:pPr>
              <w:spacing w:after="0" w:line="240" w:lineRule="auto"/>
              <w:jc w:val="both"/>
              <w:rPr>
                <w:rFonts w:ascii="Times New Roman" w:eastAsia="Times New Roman" w:hAnsi="Times New Roman"/>
                <w:noProof/>
                <w:sz w:val="24"/>
                <w:szCs w:val="24"/>
                <w:lang w:val="ro-RO" w:eastAsia="ro-RO"/>
              </w:rPr>
            </w:pPr>
          </w:p>
        </w:tc>
      </w:tr>
      <w:tr w:rsidR="00924D7C" w:rsidRPr="00441706" w14:paraId="6CBB68C5" w14:textId="77777777" w:rsidTr="00BE7A9F">
        <w:tc>
          <w:tcPr>
            <w:tcW w:w="1670" w:type="pct"/>
            <w:vAlign w:val="center"/>
          </w:tcPr>
          <w:p w14:paraId="11D60E8C" w14:textId="3CEC215C" w:rsidR="00924D7C" w:rsidRPr="00441706" w:rsidRDefault="00924D7C" w:rsidP="001C56CE">
            <w:pPr>
              <w:spacing w:after="0" w:line="240" w:lineRule="auto"/>
              <w:jc w:val="both"/>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lastRenderedPageBreak/>
              <w:t>2.</w:t>
            </w:r>
            <w:r w:rsidR="007B29C6" w:rsidRPr="00441706">
              <w:rPr>
                <w:rFonts w:ascii="Times New Roman" w:eastAsia="Times New Roman" w:hAnsi="Times New Roman"/>
                <w:b/>
                <w:noProof/>
                <w:sz w:val="24"/>
                <w:szCs w:val="24"/>
                <w:lang w:val="ro-RO"/>
              </w:rPr>
              <w:t>2.</w:t>
            </w:r>
            <w:r w:rsidRPr="00441706">
              <w:rPr>
                <w:rFonts w:ascii="Times New Roman" w:eastAsia="Times New Roman" w:hAnsi="Times New Roman"/>
                <w:b/>
                <w:noProof/>
                <w:sz w:val="24"/>
                <w:szCs w:val="24"/>
                <w:lang w:val="ro-RO"/>
              </w:rPr>
              <w:t>Schimbări</w:t>
            </w:r>
            <w:r w:rsidR="00E9463B" w:rsidRPr="00441706">
              <w:rPr>
                <w:rFonts w:ascii="Times New Roman" w:eastAsia="Times New Roman" w:hAnsi="Times New Roman"/>
                <w:b/>
                <w:noProof/>
                <w:sz w:val="24"/>
                <w:szCs w:val="24"/>
                <w:lang w:val="ro-RO"/>
              </w:rPr>
              <w:t xml:space="preserve"> </w:t>
            </w:r>
            <w:r w:rsidRPr="00441706">
              <w:rPr>
                <w:rFonts w:ascii="Times New Roman" w:eastAsia="Times New Roman" w:hAnsi="Times New Roman"/>
                <w:b/>
                <w:noProof/>
                <w:sz w:val="24"/>
                <w:szCs w:val="24"/>
                <w:lang w:val="ro-RO"/>
              </w:rPr>
              <w:t xml:space="preserve">preconizate               </w:t>
            </w:r>
          </w:p>
        </w:tc>
        <w:tc>
          <w:tcPr>
            <w:tcW w:w="3330" w:type="pct"/>
            <w:gridSpan w:val="7"/>
            <w:vAlign w:val="center"/>
          </w:tcPr>
          <w:p w14:paraId="2F339A74" w14:textId="3BC8BE69" w:rsidR="00902E41" w:rsidRPr="00441706" w:rsidRDefault="00902E41" w:rsidP="001C56CE">
            <w:pPr>
              <w:spacing w:after="0" w:line="240" w:lineRule="auto"/>
              <w:jc w:val="both"/>
              <w:rPr>
                <w:rFonts w:ascii="Times New Roman" w:hAnsi="Times New Roman"/>
                <w:sz w:val="24"/>
                <w:szCs w:val="24"/>
              </w:rPr>
            </w:pPr>
            <w:r w:rsidRPr="00441706">
              <w:rPr>
                <w:rFonts w:ascii="Times New Roman" w:hAnsi="Times New Roman"/>
                <w:sz w:val="24"/>
                <w:szCs w:val="24"/>
              </w:rPr>
              <w:t xml:space="preserve">Prin </w:t>
            </w:r>
            <w:proofErr w:type="spellStart"/>
            <w:r w:rsidRPr="00441706">
              <w:rPr>
                <w:rFonts w:ascii="Times New Roman" w:hAnsi="Times New Roman"/>
                <w:sz w:val="24"/>
                <w:szCs w:val="24"/>
              </w:rPr>
              <w:t>prezenta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hotărâre</w:t>
            </w:r>
            <w:proofErr w:type="spellEnd"/>
            <w:r w:rsidRPr="00441706">
              <w:rPr>
                <w:rFonts w:ascii="Times New Roman" w:hAnsi="Times New Roman"/>
                <w:sz w:val="24"/>
                <w:szCs w:val="24"/>
              </w:rPr>
              <w:t xml:space="preserve"> se </w:t>
            </w:r>
            <w:proofErr w:type="spellStart"/>
            <w:r w:rsidRPr="00441706">
              <w:rPr>
                <w:rFonts w:ascii="Times New Roman" w:hAnsi="Times New Roman"/>
                <w:sz w:val="24"/>
                <w:szCs w:val="24"/>
              </w:rPr>
              <w:t>propune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fuziunea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absorbție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dintre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Participațiilor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Energie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calitate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Electrocentrale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Grup</w:t>
            </w:r>
            <w:proofErr w:type="spellEnd"/>
            <w:r w:rsidRPr="00441706">
              <w:rPr>
                <w:rFonts w:ascii="Times New Roman" w:hAnsi="Times New Roman"/>
                <w:sz w:val="24"/>
                <w:szCs w:val="24"/>
              </w:rPr>
              <w:t xml:space="preserve"> SA,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calitate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absorbită</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efectul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preluării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către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întregului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patrimoniu</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absorbite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inclusiv</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pierderilor</w:t>
            </w:r>
            <w:proofErr w:type="spellEnd"/>
            <w:r w:rsidRPr="00441706">
              <w:rPr>
                <w:rFonts w:ascii="Times New Roman" w:hAnsi="Times New Roman"/>
                <w:sz w:val="24"/>
                <w:szCs w:val="24"/>
              </w:rPr>
              <w:t xml:space="preserve"> </w:t>
            </w:r>
            <w:proofErr w:type="spellStart"/>
            <w:r w:rsidR="00441706" w:rsidRPr="00441706">
              <w:rPr>
                <w:rFonts w:ascii="Times New Roman" w:hAnsi="Times New Roman"/>
                <w:sz w:val="24"/>
                <w:szCs w:val="24"/>
              </w:rPr>
              <w:t>rămase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neacoperite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prin</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diminuarea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capitalului</w:t>
            </w:r>
            <w:proofErr w:type="spellEnd"/>
            <w:r w:rsidR="00441706" w:rsidRPr="00441706">
              <w:rPr>
                <w:rFonts w:ascii="Times New Roman" w:hAnsi="Times New Roman"/>
                <w:sz w:val="24"/>
                <w:szCs w:val="24"/>
              </w:rPr>
              <w:t xml:space="preserve"> social al </w:t>
            </w:r>
            <w:proofErr w:type="spellStart"/>
            <w:r w:rsidR="00441706" w:rsidRPr="00441706">
              <w:rPr>
                <w:rFonts w:ascii="Times New Roman" w:hAnsi="Times New Roman"/>
                <w:sz w:val="24"/>
                <w:szCs w:val="24"/>
              </w:rPr>
              <w:t>Societății</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Electrocentrale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Grup</w:t>
            </w:r>
            <w:proofErr w:type="spellEnd"/>
            <w:r w:rsidR="00441706" w:rsidRPr="00441706">
              <w:rPr>
                <w:rFonts w:ascii="Times New Roman" w:hAnsi="Times New Roman"/>
                <w:sz w:val="24"/>
                <w:szCs w:val="24"/>
              </w:rPr>
              <w:t xml:space="preserve"> SA </w:t>
            </w:r>
            <w:proofErr w:type="spellStart"/>
            <w:r w:rsidR="00441706" w:rsidRPr="00441706">
              <w:rPr>
                <w:rFonts w:ascii="Times New Roman" w:hAnsi="Times New Roman"/>
                <w:sz w:val="24"/>
                <w:szCs w:val="24"/>
              </w:rPr>
              <w:t>efectuată</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înaintea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fuziunii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condițiile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efectele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prevăzute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lege</w:t>
            </w:r>
            <w:proofErr w:type="spellEnd"/>
            <w:r w:rsidRPr="00441706">
              <w:rPr>
                <w:rFonts w:ascii="Times New Roman" w:hAnsi="Times New Roman"/>
                <w:sz w:val="24"/>
                <w:szCs w:val="24"/>
              </w:rPr>
              <w:t>.</w:t>
            </w:r>
          </w:p>
          <w:p w14:paraId="6841797C" w14:textId="77777777" w:rsidR="00902E41" w:rsidRPr="00441706"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este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necesară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reorganizări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coerente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celor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două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w:t>
            </w:r>
            <w:proofErr w:type="spellEnd"/>
            <w:r w:rsidRPr="00441706">
              <w:rPr>
                <w:rFonts w:ascii="Times New Roman" w:hAnsi="Times New Roman"/>
                <w:sz w:val="24"/>
                <w:szCs w:val="24"/>
              </w:rPr>
              <w:t xml:space="preserve"> cu capital integral de stat,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consolidarea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situației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entității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asigurarea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baze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financiare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operaționale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capabile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susțină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activitatea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viitoare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condiții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stabilitate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predictibilitate</w:t>
            </w:r>
            <w:proofErr w:type="spellEnd"/>
            <w:r w:rsidRPr="00441706">
              <w:rPr>
                <w:rFonts w:ascii="Times New Roman" w:hAnsi="Times New Roman"/>
                <w:sz w:val="24"/>
                <w:szCs w:val="24"/>
              </w:rPr>
              <w:t>.</w:t>
            </w:r>
          </w:p>
          <w:p w14:paraId="00785DD0" w14:textId="0CE58987" w:rsidR="00902E41" w:rsidRPr="00441706" w:rsidRDefault="00902E41" w:rsidP="001C56CE">
            <w:pPr>
              <w:spacing w:after="0" w:line="240" w:lineRule="auto"/>
              <w:jc w:val="both"/>
              <w:rPr>
                <w:rFonts w:ascii="Times New Roman" w:hAnsi="Times New Roman"/>
                <w:sz w:val="24"/>
                <w:szCs w:val="24"/>
              </w:rPr>
            </w:pPr>
            <w:r w:rsidRPr="00441706">
              <w:rPr>
                <w:rFonts w:ascii="Times New Roman" w:hAnsi="Times New Roman"/>
                <w:sz w:val="24"/>
                <w:szCs w:val="24"/>
              </w:rPr>
              <w:t xml:space="preserve">Prin </w:t>
            </w:r>
            <w:proofErr w:type="spellStart"/>
            <w:r w:rsidRPr="00441706">
              <w:rPr>
                <w:rFonts w:ascii="Times New Roman" w:hAnsi="Times New Roman"/>
                <w:sz w:val="24"/>
                <w:szCs w:val="24"/>
              </w:rPr>
              <w:t>această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pierderile</w:t>
            </w:r>
            <w:proofErr w:type="spellEnd"/>
            <w:r w:rsidRPr="00441706">
              <w:rPr>
                <w:rFonts w:ascii="Times New Roman" w:hAnsi="Times New Roman"/>
                <w:sz w:val="24"/>
                <w:szCs w:val="24"/>
              </w:rPr>
              <w:t xml:space="preserve"> </w:t>
            </w:r>
            <w:proofErr w:type="spellStart"/>
            <w:r w:rsidR="00441706" w:rsidRPr="00441706">
              <w:rPr>
                <w:rFonts w:ascii="Times New Roman" w:hAnsi="Times New Roman"/>
                <w:sz w:val="24"/>
                <w:szCs w:val="24"/>
              </w:rPr>
              <w:t>rămase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neacoperite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prin</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diminuarea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capitalului</w:t>
            </w:r>
            <w:proofErr w:type="spellEnd"/>
            <w:r w:rsidR="00441706" w:rsidRPr="00441706">
              <w:rPr>
                <w:rFonts w:ascii="Times New Roman" w:hAnsi="Times New Roman"/>
                <w:sz w:val="24"/>
                <w:szCs w:val="24"/>
              </w:rPr>
              <w:t xml:space="preserve"> social al </w:t>
            </w:r>
            <w:proofErr w:type="spellStart"/>
            <w:r w:rsidR="00441706" w:rsidRPr="00441706">
              <w:rPr>
                <w:rFonts w:ascii="Times New Roman" w:hAnsi="Times New Roman"/>
                <w:sz w:val="24"/>
                <w:szCs w:val="24"/>
              </w:rPr>
              <w:t>Societății</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Electrocentrale</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Grup</w:t>
            </w:r>
            <w:proofErr w:type="spellEnd"/>
            <w:r w:rsidR="00441706" w:rsidRPr="00441706">
              <w:rPr>
                <w:rFonts w:ascii="Times New Roman" w:hAnsi="Times New Roman"/>
                <w:sz w:val="24"/>
                <w:szCs w:val="24"/>
              </w:rPr>
              <w:t xml:space="preserve"> SA </w:t>
            </w:r>
            <w:proofErr w:type="spellStart"/>
            <w:r w:rsidR="00441706" w:rsidRPr="00441706">
              <w:rPr>
                <w:rFonts w:ascii="Times New Roman" w:hAnsi="Times New Roman"/>
                <w:sz w:val="24"/>
                <w:szCs w:val="24"/>
              </w:rPr>
              <w:t>efectuată</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înaintea</w:t>
            </w:r>
            <w:proofErr w:type="spellEnd"/>
            <w:r w:rsidR="00441706" w:rsidRPr="00441706">
              <w:rPr>
                <w:rFonts w:ascii="Times New Roman" w:hAnsi="Times New Roman"/>
                <w:sz w:val="24"/>
                <w:szCs w:val="24"/>
              </w:rPr>
              <w:t xml:space="preserve"> </w:t>
            </w:r>
            <w:proofErr w:type="spellStart"/>
            <w:r w:rsidR="00441706" w:rsidRPr="00441706">
              <w:rPr>
                <w:rFonts w:ascii="Times New Roman" w:hAnsi="Times New Roman"/>
                <w:sz w:val="24"/>
                <w:szCs w:val="24"/>
              </w:rPr>
              <w:t>fuziunii</w:t>
            </w:r>
            <w:proofErr w:type="spellEnd"/>
            <w:r w:rsidR="006B4EA0" w:rsidRPr="00441706">
              <w:rPr>
                <w:rFonts w:ascii="Times New Roman" w:hAnsi="Times New Roman"/>
                <w:sz w:val="24"/>
                <w:szCs w:val="24"/>
              </w:rPr>
              <w:t xml:space="preserve">, </w:t>
            </w:r>
            <w:proofErr w:type="spellStart"/>
            <w:r w:rsidRPr="00441706">
              <w:rPr>
                <w:rFonts w:ascii="Times New Roman" w:hAnsi="Times New Roman"/>
                <w:sz w:val="24"/>
                <w:szCs w:val="24"/>
              </w:rPr>
              <w:t>vor</w:t>
            </w:r>
            <w:proofErr w:type="spellEnd"/>
            <w:r w:rsidRPr="00441706">
              <w:rPr>
                <w:rFonts w:ascii="Times New Roman" w:hAnsi="Times New Roman"/>
                <w:sz w:val="24"/>
                <w:szCs w:val="24"/>
              </w:rPr>
              <w:t xml:space="preserve"> fi </w:t>
            </w:r>
            <w:proofErr w:type="spellStart"/>
            <w:r w:rsidRPr="00441706">
              <w:rPr>
                <w:rFonts w:ascii="Times New Roman" w:hAnsi="Times New Roman"/>
                <w:sz w:val="24"/>
                <w:szCs w:val="24"/>
              </w:rPr>
              <w:t>preluate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Societatea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Participațiilor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Energie SA, ca </w:t>
            </w:r>
            <w:proofErr w:type="spellStart"/>
            <w:r w:rsidRPr="00441706">
              <w:rPr>
                <w:rFonts w:ascii="Times New Roman" w:hAnsi="Times New Roman"/>
                <w:sz w:val="24"/>
                <w:szCs w:val="24"/>
              </w:rPr>
              <w:t>efect</w:t>
            </w:r>
            <w:proofErr w:type="spellEnd"/>
            <w:r w:rsidRPr="00441706">
              <w:rPr>
                <w:rFonts w:ascii="Times New Roman" w:hAnsi="Times New Roman"/>
                <w:sz w:val="24"/>
                <w:szCs w:val="24"/>
              </w:rPr>
              <w:t xml:space="preserve"> al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ceea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permite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reflectarea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unitară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situației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cadrul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absorbante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eliminarea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disfuncționalităților</w:t>
            </w:r>
            <w:proofErr w:type="spellEnd"/>
            <w:r w:rsidRPr="00441706">
              <w:rPr>
                <w:rFonts w:ascii="Times New Roman" w:hAnsi="Times New Roman"/>
                <w:sz w:val="24"/>
                <w:szCs w:val="24"/>
              </w:rPr>
              <w:t xml:space="preserve"> generate de </w:t>
            </w:r>
            <w:proofErr w:type="spellStart"/>
            <w:r w:rsidRPr="00441706">
              <w:rPr>
                <w:rFonts w:ascii="Times New Roman" w:hAnsi="Times New Roman"/>
                <w:sz w:val="24"/>
                <w:szCs w:val="24"/>
              </w:rPr>
              <w:t>existența</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două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structuri</w:t>
            </w:r>
            <w:proofErr w:type="spellEnd"/>
            <w:r w:rsidRPr="00441706">
              <w:rPr>
                <w:rFonts w:ascii="Times New Roman" w:hAnsi="Times New Roman"/>
                <w:sz w:val="24"/>
                <w:szCs w:val="24"/>
              </w:rPr>
              <w:t xml:space="preserve"> separate.   </w:t>
            </w:r>
          </w:p>
          <w:p w14:paraId="4C12AC9C" w14:textId="77777777" w:rsidR="00902E41" w:rsidRPr="00441706" w:rsidRDefault="00902E41"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Fuziunea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contribuie</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simplificarea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societare</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reducerea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costurilor</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administrare</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consolidarea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guvernanței</w:t>
            </w:r>
            <w:proofErr w:type="spellEnd"/>
            <w:r w:rsidRPr="00441706">
              <w:rPr>
                <w:rFonts w:ascii="Times New Roman" w:hAnsi="Times New Roman"/>
                <w:sz w:val="24"/>
                <w:szCs w:val="24"/>
              </w:rPr>
              <w:t xml:space="preserve"> </w:t>
            </w:r>
            <w:r w:rsidRPr="00441706">
              <w:rPr>
                <w:rFonts w:ascii="Times New Roman" w:hAnsi="Times New Roman"/>
                <w:sz w:val="24"/>
                <w:szCs w:val="24"/>
              </w:rPr>
              <w:lastRenderedPageBreak/>
              <w:t xml:space="preserve">corporative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la </w:t>
            </w:r>
            <w:proofErr w:type="spellStart"/>
            <w:r w:rsidRPr="00441706">
              <w:rPr>
                <w:rFonts w:ascii="Times New Roman" w:hAnsi="Times New Roman"/>
                <w:sz w:val="24"/>
                <w:szCs w:val="24"/>
              </w:rPr>
              <w:t>eficientizarea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mecanismelor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decizionale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Totodată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operațiunea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susține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îndeplinirea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angajamentelor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asumate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Planul</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Național</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Redresare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Reziliență, </w:t>
            </w:r>
            <w:proofErr w:type="spellStart"/>
            <w:r w:rsidRPr="00441706">
              <w:rPr>
                <w:rFonts w:ascii="Times New Roman" w:hAnsi="Times New Roman"/>
                <w:sz w:val="24"/>
                <w:szCs w:val="24"/>
              </w:rPr>
              <w:t>inclusiv</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Țintei</w:t>
            </w:r>
            <w:proofErr w:type="spellEnd"/>
            <w:r w:rsidRPr="00441706">
              <w:rPr>
                <w:rFonts w:ascii="Times New Roman" w:hAnsi="Times New Roman"/>
                <w:sz w:val="24"/>
                <w:szCs w:val="24"/>
              </w:rPr>
              <w:t xml:space="preserve"> 443 din Componenta 14 – Buna </w:t>
            </w:r>
            <w:proofErr w:type="spellStart"/>
            <w:r w:rsidRPr="00441706">
              <w:rPr>
                <w:rFonts w:ascii="Times New Roman" w:hAnsi="Times New Roman"/>
                <w:sz w:val="24"/>
                <w:szCs w:val="24"/>
              </w:rPr>
              <w:t>guvernanță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sprijinirea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procesului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restructurare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consolidare</w:t>
            </w:r>
            <w:proofErr w:type="spellEnd"/>
            <w:r w:rsidRPr="00441706">
              <w:rPr>
                <w:rFonts w:ascii="Times New Roman" w:hAnsi="Times New Roman"/>
                <w:sz w:val="24"/>
                <w:szCs w:val="24"/>
              </w:rPr>
              <w:t xml:space="preserve"> </w:t>
            </w:r>
            <w:proofErr w:type="gramStart"/>
            <w:r w:rsidRPr="00441706">
              <w:rPr>
                <w:rFonts w:ascii="Times New Roman" w:hAnsi="Times New Roman"/>
                <w:sz w:val="24"/>
                <w:szCs w:val="24"/>
              </w:rPr>
              <w:t>a</w:t>
            </w:r>
            <w:proofErr w:type="gramEnd"/>
            <w:r w:rsidRPr="00441706">
              <w:rPr>
                <w:rFonts w:ascii="Times New Roman" w:hAnsi="Times New Roman"/>
                <w:sz w:val="24"/>
                <w:szCs w:val="24"/>
              </w:rPr>
              <w:t xml:space="preserve"> </w:t>
            </w:r>
            <w:proofErr w:type="spellStart"/>
            <w:r w:rsidRPr="00441706">
              <w:rPr>
                <w:rFonts w:ascii="Times New Roman" w:hAnsi="Times New Roman"/>
                <w:sz w:val="24"/>
                <w:szCs w:val="24"/>
              </w:rPr>
              <w:t>operatorilor</w:t>
            </w:r>
            <w:proofErr w:type="spellEnd"/>
            <w:r w:rsidRPr="00441706">
              <w:rPr>
                <w:rFonts w:ascii="Times New Roman" w:hAnsi="Times New Roman"/>
                <w:sz w:val="24"/>
                <w:szCs w:val="24"/>
              </w:rPr>
              <w:t xml:space="preserve"> economici de stat.</w:t>
            </w:r>
          </w:p>
          <w:p w14:paraId="0062E36C" w14:textId="18C15626" w:rsidR="005B3261" w:rsidRPr="00441706" w:rsidRDefault="00902E41" w:rsidP="001C56CE">
            <w:pPr>
              <w:spacing w:after="0" w:line="240" w:lineRule="auto"/>
              <w:jc w:val="both"/>
              <w:rPr>
                <w:rFonts w:ascii="Times New Roman" w:eastAsia="Times New Roman" w:hAnsi="Times New Roman"/>
                <w:bCs/>
                <w:noProof/>
                <w:sz w:val="24"/>
                <w:szCs w:val="24"/>
                <w:lang w:val="ro-RO"/>
              </w:rPr>
            </w:pP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acest</w:t>
            </w:r>
            <w:proofErr w:type="spellEnd"/>
            <w:r w:rsidRPr="00441706">
              <w:rPr>
                <w:rFonts w:ascii="Times New Roman" w:hAnsi="Times New Roman"/>
                <w:sz w:val="24"/>
                <w:szCs w:val="24"/>
              </w:rPr>
              <w:t xml:space="preserve"> mod, se </w:t>
            </w:r>
            <w:proofErr w:type="spellStart"/>
            <w:r w:rsidRPr="00441706">
              <w:rPr>
                <w:rFonts w:ascii="Times New Roman" w:hAnsi="Times New Roman"/>
                <w:sz w:val="24"/>
                <w:szCs w:val="24"/>
              </w:rPr>
              <w:t>creează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premisele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necesare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condiții</w:t>
            </w:r>
            <w:proofErr w:type="spellEnd"/>
            <w:r w:rsidRPr="00441706">
              <w:rPr>
                <w:rFonts w:ascii="Times New Roman" w:hAnsi="Times New Roman"/>
                <w:sz w:val="24"/>
                <w:szCs w:val="24"/>
              </w:rPr>
              <w:t xml:space="preserve"> optime a </w:t>
            </w:r>
            <w:proofErr w:type="spellStart"/>
            <w:r w:rsidRPr="00441706">
              <w:rPr>
                <w:rFonts w:ascii="Times New Roman" w:hAnsi="Times New Roman"/>
                <w:sz w:val="24"/>
                <w:szCs w:val="24"/>
              </w:rPr>
              <w:t>procesului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fuziune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funcționarea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rezultate</w:t>
            </w:r>
            <w:proofErr w:type="spellEnd"/>
            <w:r w:rsidRPr="00441706">
              <w:rPr>
                <w:rFonts w:ascii="Times New Roman" w:hAnsi="Times New Roman"/>
                <w:sz w:val="24"/>
                <w:szCs w:val="24"/>
              </w:rPr>
              <w:t xml:space="preserve"> pe </w:t>
            </w:r>
            <w:proofErr w:type="spellStart"/>
            <w:r w:rsidRPr="00441706">
              <w:rPr>
                <w:rFonts w:ascii="Times New Roman" w:hAnsi="Times New Roman"/>
                <w:sz w:val="24"/>
                <w:szCs w:val="24"/>
              </w:rPr>
              <w:t>baze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manageriale</w:t>
            </w:r>
            <w:proofErr w:type="spellEnd"/>
            <w:r w:rsidRPr="00441706">
              <w:rPr>
                <w:rFonts w:ascii="Times New Roman" w:hAnsi="Times New Roman"/>
                <w:sz w:val="24"/>
                <w:szCs w:val="24"/>
              </w:rPr>
              <w:t xml:space="preserve"> consolidate.</w:t>
            </w:r>
          </w:p>
        </w:tc>
      </w:tr>
      <w:tr w:rsidR="00924D7C" w:rsidRPr="00441706" w14:paraId="2205C132" w14:textId="77777777" w:rsidTr="00BE7A9F">
        <w:trPr>
          <w:trHeight w:val="475"/>
        </w:trPr>
        <w:tc>
          <w:tcPr>
            <w:tcW w:w="1670" w:type="pct"/>
            <w:vAlign w:val="center"/>
          </w:tcPr>
          <w:p w14:paraId="6CAF32CB" w14:textId="77777777" w:rsidR="00924D7C" w:rsidRPr="00441706" w:rsidRDefault="007B29C6"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lastRenderedPageBreak/>
              <w:t>2.</w:t>
            </w:r>
            <w:r w:rsidR="00924D7C" w:rsidRPr="00441706">
              <w:rPr>
                <w:rFonts w:ascii="Times New Roman" w:eastAsia="Times New Roman" w:hAnsi="Times New Roman"/>
                <w:noProof/>
                <w:sz w:val="24"/>
                <w:szCs w:val="24"/>
                <w:lang w:val="ro-RO"/>
              </w:rPr>
              <w:t xml:space="preserve">3. Alte informaţii (**)    </w:t>
            </w:r>
          </w:p>
        </w:tc>
        <w:tc>
          <w:tcPr>
            <w:tcW w:w="3330" w:type="pct"/>
            <w:gridSpan w:val="7"/>
            <w:vAlign w:val="center"/>
          </w:tcPr>
          <w:p w14:paraId="0F7D13B8" w14:textId="77777777" w:rsidR="008864A3" w:rsidRPr="00441706" w:rsidRDefault="008864A3" w:rsidP="001C56CE">
            <w:pPr>
              <w:tabs>
                <w:tab w:val="left" w:pos="2925"/>
              </w:tabs>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w:t>
            </w:r>
          </w:p>
          <w:p w14:paraId="4C6A387C" w14:textId="77777777" w:rsidR="00E1434A" w:rsidRPr="00441706" w:rsidRDefault="00E1434A" w:rsidP="001C56CE">
            <w:pPr>
              <w:tabs>
                <w:tab w:val="left" w:pos="2925"/>
              </w:tabs>
              <w:spacing w:after="0" w:line="240" w:lineRule="auto"/>
              <w:jc w:val="both"/>
              <w:rPr>
                <w:rFonts w:ascii="Times New Roman" w:eastAsia="Times New Roman" w:hAnsi="Times New Roman"/>
                <w:noProof/>
                <w:sz w:val="24"/>
                <w:szCs w:val="24"/>
                <w:lang w:val="ro-RO"/>
              </w:rPr>
            </w:pPr>
          </w:p>
        </w:tc>
      </w:tr>
      <w:tr w:rsidR="00924D7C" w:rsidRPr="00441706" w14:paraId="6DB1EC44" w14:textId="77777777" w:rsidTr="00BE7A9F">
        <w:tc>
          <w:tcPr>
            <w:tcW w:w="5000" w:type="pct"/>
            <w:gridSpan w:val="8"/>
            <w:vAlign w:val="center"/>
          </w:tcPr>
          <w:p w14:paraId="51D14DF7"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p>
          <w:p w14:paraId="65A8DC69"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3-a</w:t>
            </w:r>
          </w:p>
          <w:p w14:paraId="1A1CA6A0" w14:textId="77777777" w:rsidR="00924D7C" w:rsidRPr="00441706" w:rsidRDefault="00924D7C"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Impactul socio</w:t>
            </w:r>
            <w:r w:rsidR="00680DAD" w:rsidRPr="00441706">
              <w:rPr>
                <w:rFonts w:ascii="Times New Roman" w:eastAsia="Times New Roman" w:hAnsi="Times New Roman"/>
                <w:b/>
                <w:noProof/>
                <w:sz w:val="24"/>
                <w:szCs w:val="24"/>
                <w:lang w:val="ro-RO"/>
              </w:rPr>
              <w:t>-</w:t>
            </w:r>
            <w:r w:rsidRPr="00441706">
              <w:rPr>
                <w:rFonts w:ascii="Times New Roman" w:eastAsia="Times New Roman" w:hAnsi="Times New Roman"/>
                <w:b/>
                <w:noProof/>
                <w:sz w:val="24"/>
                <w:szCs w:val="24"/>
                <w:lang w:val="ro-RO"/>
              </w:rPr>
              <w:t>economic al actului normativ</w:t>
            </w:r>
          </w:p>
          <w:p w14:paraId="583112FA" w14:textId="77777777" w:rsidR="00924D7C" w:rsidRPr="00441706" w:rsidRDefault="00924D7C" w:rsidP="001C56CE">
            <w:pPr>
              <w:spacing w:after="0" w:line="240" w:lineRule="auto"/>
              <w:jc w:val="both"/>
              <w:rPr>
                <w:rFonts w:ascii="Times New Roman" w:eastAsia="Times New Roman" w:hAnsi="Times New Roman"/>
                <w:b/>
                <w:noProof/>
                <w:sz w:val="24"/>
                <w:szCs w:val="24"/>
                <w:lang w:val="ro-RO"/>
              </w:rPr>
            </w:pPr>
          </w:p>
        </w:tc>
      </w:tr>
      <w:tr w:rsidR="00924D7C" w:rsidRPr="00441706" w14:paraId="19D6086D" w14:textId="77777777" w:rsidTr="00BE7A9F">
        <w:tc>
          <w:tcPr>
            <w:tcW w:w="1670" w:type="pct"/>
            <w:vAlign w:val="center"/>
          </w:tcPr>
          <w:p w14:paraId="5DC1D8AC" w14:textId="77777777" w:rsidR="00924D7C" w:rsidRPr="00441706" w:rsidRDefault="007B29C6" w:rsidP="001C56CE">
            <w:pPr>
              <w:spacing w:after="0" w:line="240" w:lineRule="auto"/>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3.1. </w:t>
            </w:r>
            <w:r w:rsidR="00924D7C" w:rsidRPr="00441706">
              <w:rPr>
                <w:rFonts w:ascii="Times New Roman" w:eastAsia="Times New Roman" w:hAnsi="Times New Roman"/>
                <w:noProof/>
                <w:sz w:val="24"/>
                <w:szCs w:val="24"/>
                <w:lang w:val="ro-RO"/>
              </w:rPr>
              <w:t xml:space="preserve">Impactul </w:t>
            </w:r>
            <w:r w:rsidRPr="00441706">
              <w:rPr>
                <w:rFonts w:ascii="Times New Roman" w:eastAsia="Times New Roman" w:hAnsi="Times New Roman"/>
                <w:noProof/>
                <w:sz w:val="24"/>
                <w:szCs w:val="24"/>
                <w:lang w:val="ro-RO"/>
              </w:rPr>
              <w:t>m</w:t>
            </w:r>
            <w:r w:rsidR="00924D7C" w:rsidRPr="00441706">
              <w:rPr>
                <w:rFonts w:ascii="Times New Roman" w:eastAsia="Times New Roman" w:hAnsi="Times New Roman"/>
                <w:noProof/>
                <w:sz w:val="24"/>
                <w:szCs w:val="24"/>
                <w:lang w:val="ro-RO"/>
              </w:rPr>
              <w:t xml:space="preserve">acroeconomic  </w:t>
            </w:r>
          </w:p>
        </w:tc>
        <w:tc>
          <w:tcPr>
            <w:tcW w:w="3330" w:type="pct"/>
            <w:gridSpan w:val="7"/>
            <w:vAlign w:val="center"/>
          </w:tcPr>
          <w:p w14:paraId="70A234F1" w14:textId="1C616B60" w:rsidR="00924D7C" w:rsidRPr="00441706" w:rsidRDefault="006E5B2C" w:rsidP="001C56CE">
            <w:pPr>
              <w:spacing w:after="0" w:line="240" w:lineRule="auto"/>
              <w:jc w:val="both"/>
              <w:rPr>
                <w:rFonts w:ascii="Times New Roman" w:hAnsi="Times New Roman"/>
                <w:sz w:val="24"/>
                <w:szCs w:val="24"/>
              </w:rPr>
            </w:pP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propusă</w:t>
            </w:r>
            <w:proofErr w:type="spellEnd"/>
            <w:r w:rsidRPr="00441706">
              <w:rPr>
                <w:rFonts w:ascii="Times New Roman" w:hAnsi="Times New Roman"/>
                <w:sz w:val="24"/>
                <w:szCs w:val="24"/>
              </w:rPr>
              <w:t xml:space="preserve"> are un impact macroeconomic </w:t>
            </w:r>
            <w:proofErr w:type="spellStart"/>
            <w:r w:rsidRPr="00441706">
              <w:rPr>
                <w:rFonts w:ascii="Times New Roman" w:hAnsi="Times New Roman"/>
                <w:sz w:val="24"/>
                <w:szCs w:val="24"/>
              </w:rPr>
              <w:t>preponderent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neutru</w:t>
            </w:r>
            <w:proofErr w:type="spellEnd"/>
            <w:r w:rsidRPr="00441706">
              <w:rPr>
                <w:rFonts w:ascii="Times New Roman" w:hAnsi="Times New Roman"/>
                <w:sz w:val="24"/>
                <w:szCs w:val="24"/>
              </w:rPr>
              <w:t xml:space="preserve"> pe termen </w:t>
            </w:r>
            <w:proofErr w:type="spellStart"/>
            <w:r w:rsidRPr="00441706">
              <w:rPr>
                <w:rFonts w:ascii="Times New Roman" w:hAnsi="Times New Roman"/>
                <w:sz w:val="24"/>
                <w:szCs w:val="24"/>
              </w:rPr>
              <w:t>scurt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întrucât</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constă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într</w:t>
            </w:r>
            <w:proofErr w:type="spellEnd"/>
            <w:r w:rsidRPr="00441706">
              <w:rPr>
                <w:rFonts w:ascii="Times New Roman" w:hAnsi="Times New Roman"/>
                <w:sz w:val="24"/>
                <w:szCs w:val="24"/>
              </w:rPr>
              <w:t xml:space="preserve">-o </w:t>
            </w:r>
            <w:proofErr w:type="spellStart"/>
            <w:r w:rsidRPr="00441706">
              <w:rPr>
                <w:rFonts w:ascii="Times New Roman" w:hAnsi="Times New Roman"/>
                <w:sz w:val="24"/>
                <w:szCs w:val="24"/>
              </w:rPr>
              <w:t>operațiune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consolidare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patrimonială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fără</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implicații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bugetare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suplimentare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imediate</w:t>
            </w:r>
            <w:proofErr w:type="spellEnd"/>
            <w:r w:rsidRPr="00441706">
              <w:rPr>
                <w:rFonts w:ascii="Times New Roman" w:hAnsi="Times New Roman"/>
                <w:sz w:val="24"/>
                <w:szCs w:val="24"/>
              </w:rPr>
              <w:t xml:space="preserve">. Pe termen </w:t>
            </w:r>
            <w:proofErr w:type="spellStart"/>
            <w:r w:rsidRPr="00441706">
              <w:rPr>
                <w:rFonts w:ascii="Times New Roman" w:hAnsi="Times New Roman"/>
                <w:sz w:val="24"/>
                <w:szCs w:val="24"/>
              </w:rPr>
              <w:t>mediu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măsura</w:t>
            </w:r>
            <w:proofErr w:type="spellEnd"/>
            <w:r w:rsidRPr="00441706">
              <w:rPr>
                <w:rFonts w:ascii="Times New Roman" w:hAnsi="Times New Roman"/>
                <w:sz w:val="24"/>
                <w:szCs w:val="24"/>
              </w:rPr>
              <w:t xml:space="preserve"> are </w:t>
            </w:r>
            <w:proofErr w:type="spellStart"/>
            <w:r w:rsidRPr="00441706">
              <w:rPr>
                <w:rFonts w:ascii="Times New Roman" w:hAnsi="Times New Roman"/>
                <w:sz w:val="24"/>
                <w:szCs w:val="24"/>
              </w:rPr>
              <w:t>efecte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pozitive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îmbunătățirea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structurii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capitalurilor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proprii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creșterea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credibilității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financiare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reducerea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riscului</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blocaj</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procesul</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restructurare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creare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premiselor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pentru</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finalizarea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condiții</w:t>
            </w:r>
            <w:proofErr w:type="spellEnd"/>
            <w:r w:rsidRPr="00441706">
              <w:rPr>
                <w:rFonts w:ascii="Times New Roman" w:hAnsi="Times New Roman"/>
                <w:sz w:val="24"/>
                <w:szCs w:val="24"/>
              </w:rPr>
              <w:t xml:space="preserve"> optime a </w:t>
            </w:r>
            <w:proofErr w:type="spellStart"/>
            <w:r w:rsidRPr="00441706">
              <w:rPr>
                <w:rFonts w:ascii="Times New Roman" w:hAnsi="Times New Roman"/>
                <w:sz w:val="24"/>
                <w:szCs w:val="24"/>
              </w:rPr>
              <w:t>fuziunii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în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corelare</w:t>
            </w:r>
            <w:proofErr w:type="spellEnd"/>
            <w:r w:rsidRPr="00441706">
              <w:rPr>
                <w:rFonts w:ascii="Times New Roman" w:hAnsi="Times New Roman"/>
                <w:sz w:val="24"/>
                <w:szCs w:val="24"/>
              </w:rPr>
              <w:t xml:space="preserve"> cu </w:t>
            </w:r>
            <w:proofErr w:type="spellStart"/>
            <w:r w:rsidRPr="00441706">
              <w:rPr>
                <w:rFonts w:ascii="Times New Roman" w:hAnsi="Times New Roman"/>
                <w:sz w:val="24"/>
                <w:szCs w:val="24"/>
              </w:rPr>
              <w:t>îndeplinirea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Țintei</w:t>
            </w:r>
            <w:proofErr w:type="spellEnd"/>
            <w:r w:rsidRPr="00441706">
              <w:rPr>
                <w:rFonts w:ascii="Times New Roman" w:hAnsi="Times New Roman"/>
                <w:sz w:val="24"/>
                <w:szCs w:val="24"/>
              </w:rPr>
              <w:t xml:space="preserve"> 443 din PNRR, Componenta 14 – Buna </w:t>
            </w:r>
            <w:proofErr w:type="spellStart"/>
            <w:r w:rsidRPr="00441706">
              <w:rPr>
                <w:rFonts w:ascii="Times New Roman" w:hAnsi="Times New Roman"/>
                <w:sz w:val="24"/>
                <w:szCs w:val="24"/>
              </w:rPr>
              <w:t>guvernanță</w:t>
            </w:r>
            <w:proofErr w:type="spellEnd"/>
            <w:r w:rsidRPr="00441706">
              <w:rPr>
                <w:rFonts w:ascii="Times New Roman" w:hAnsi="Times New Roman"/>
                <w:sz w:val="24"/>
                <w:szCs w:val="24"/>
              </w:rPr>
              <w:t xml:space="preserve">. Prin </w:t>
            </w:r>
            <w:proofErr w:type="spellStart"/>
            <w:r w:rsidRPr="00441706">
              <w:rPr>
                <w:rFonts w:ascii="Times New Roman" w:hAnsi="Times New Roman"/>
                <w:sz w:val="24"/>
                <w:szCs w:val="24"/>
              </w:rPr>
              <w:t>aceasta</w:t>
            </w:r>
            <w:proofErr w:type="spellEnd"/>
            <w:r w:rsidRPr="00441706">
              <w:rPr>
                <w:rFonts w:ascii="Times New Roman" w:hAnsi="Times New Roman"/>
                <w:sz w:val="24"/>
                <w:szCs w:val="24"/>
              </w:rPr>
              <w:t xml:space="preserve"> se </w:t>
            </w:r>
            <w:proofErr w:type="spellStart"/>
            <w:r w:rsidRPr="00441706">
              <w:rPr>
                <w:rFonts w:ascii="Times New Roman" w:hAnsi="Times New Roman"/>
                <w:sz w:val="24"/>
                <w:szCs w:val="24"/>
              </w:rPr>
              <w:t>susțin</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stabilitatea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financiară</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societății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și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capacitatea</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implementare</w:t>
            </w:r>
            <w:proofErr w:type="spellEnd"/>
            <w:r w:rsidRPr="00441706">
              <w:rPr>
                <w:rFonts w:ascii="Times New Roman" w:hAnsi="Times New Roman"/>
                <w:sz w:val="24"/>
                <w:szCs w:val="24"/>
              </w:rPr>
              <w:t xml:space="preserve"> a </w:t>
            </w:r>
            <w:proofErr w:type="spellStart"/>
            <w:r w:rsidRPr="00441706">
              <w:rPr>
                <w:rFonts w:ascii="Times New Roman" w:hAnsi="Times New Roman"/>
                <w:sz w:val="24"/>
                <w:szCs w:val="24"/>
              </w:rPr>
              <w:t>angajamentelor</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asumate</w:t>
            </w:r>
            <w:proofErr w:type="spellEnd"/>
            <w:r w:rsidRPr="00441706">
              <w:rPr>
                <w:rFonts w:ascii="Times New Roman" w:hAnsi="Times New Roman"/>
                <w:sz w:val="24"/>
                <w:szCs w:val="24"/>
              </w:rPr>
              <w:t xml:space="preserve"> de </w:t>
            </w:r>
            <w:proofErr w:type="spellStart"/>
            <w:r w:rsidRPr="00441706">
              <w:rPr>
                <w:rFonts w:ascii="Times New Roman" w:hAnsi="Times New Roman"/>
                <w:sz w:val="24"/>
                <w:szCs w:val="24"/>
              </w:rPr>
              <w:t>România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prin</w:t>
            </w:r>
            <w:proofErr w:type="spellEnd"/>
            <w:r w:rsidRPr="00441706">
              <w:rPr>
                <w:rFonts w:ascii="Times New Roman" w:hAnsi="Times New Roman"/>
                <w:sz w:val="24"/>
                <w:szCs w:val="24"/>
              </w:rPr>
              <w:t xml:space="preserve"> PNRR, </w:t>
            </w:r>
            <w:proofErr w:type="spellStart"/>
            <w:r w:rsidRPr="00441706">
              <w:rPr>
                <w:rFonts w:ascii="Times New Roman" w:hAnsi="Times New Roman"/>
                <w:sz w:val="24"/>
                <w:szCs w:val="24"/>
              </w:rPr>
              <w:t>fără</w:t>
            </w:r>
            <w:proofErr w:type="spellEnd"/>
            <w:r w:rsidRPr="00441706">
              <w:rPr>
                <w:rFonts w:ascii="Times New Roman" w:hAnsi="Times New Roman"/>
                <w:sz w:val="24"/>
                <w:szCs w:val="24"/>
              </w:rPr>
              <w:t xml:space="preserve"> a genera </w:t>
            </w:r>
            <w:proofErr w:type="spellStart"/>
            <w:r w:rsidRPr="00441706">
              <w:rPr>
                <w:rFonts w:ascii="Times New Roman" w:hAnsi="Times New Roman"/>
                <w:sz w:val="24"/>
                <w:szCs w:val="24"/>
              </w:rPr>
              <w:t>presiuni</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suplimentare</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asupra</w:t>
            </w:r>
            <w:proofErr w:type="spellEnd"/>
            <w:r w:rsidRPr="00441706">
              <w:rPr>
                <w:rFonts w:ascii="Times New Roman" w:hAnsi="Times New Roman"/>
                <w:sz w:val="24"/>
                <w:szCs w:val="24"/>
              </w:rPr>
              <w:t xml:space="preserve"> </w:t>
            </w:r>
            <w:proofErr w:type="spellStart"/>
            <w:r w:rsidRPr="00441706">
              <w:rPr>
                <w:rFonts w:ascii="Times New Roman" w:hAnsi="Times New Roman"/>
                <w:sz w:val="24"/>
                <w:szCs w:val="24"/>
              </w:rPr>
              <w:t>bugetului</w:t>
            </w:r>
            <w:proofErr w:type="spellEnd"/>
            <w:r w:rsidRPr="00441706">
              <w:rPr>
                <w:rFonts w:ascii="Times New Roman" w:hAnsi="Times New Roman"/>
                <w:sz w:val="24"/>
                <w:szCs w:val="24"/>
              </w:rPr>
              <w:t xml:space="preserve"> general </w:t>
            </w:r>
            <w:proofErr w:type="spellStart"/>
            <w:r w:rsidRPr="00441706">
              <w:rPr>
                <w:rFonts w:ascii="Times New Roman" w:hAnsi="Times New Roman"/>
                <w:sz w:val="24"/>
                <w:szCs w:val="24"/>
              </w:rPr>
              <w:t>consolidat</w:t>
            </w:r>
            <w:proofErr w:type="spellEnd"/>
            <w:r w:rsidRPr="00441706">
              <w:rPr>
                <w:rFonts w:ascii="Times New Roman" w:hAnsi="Times New Roman"/>
                <w:sz w:val="24"/>
                <w:szCs w:val="24"/>
              </w:rPr>
              <w:t>.</w:t>
            </w:r>
          </w:p>
        </w:tc>
      </w:tr>
      <w:tr w:rsidR="001F4D14" w:rsidRPr="00441706" w14:paraId="2C54EE6B" w14:textId="77777777" w:rsidTr="00BE7A9F">
        <w:trPr>
          <w:trHeight w:val="890"/>
        </w:trPr>
        <w:tc>
          <w:tcPr>
            <w:tcW w:w="1670" w:type="pct"/>
            <w:vAlign w:val="center"/>
          </w:tcPr>
          <w:p w14:paraId="430DEF46" w14:textId="77777777" w:rsidR="001F4D14" w:rsidRPr="00441706" w:rsidRDefault="007B29C6" w:rsidP="001C56CE">
            <w:pPr>
              <w:spacing w:after="0" w:line="240" w:lineRule="auto"/>
              <w:jc w:val="both"/>
              <w:rPr>
                <w:rFonts w:ascii="Times New Roman" w:hAnsi="Times New Roman"/>
                <w:noProof/>
                <w:sz w:val="24"/>
                <w:szCs w:val="24"/>
                <w:lang w:val="ro-RO"/>
              </w:rPr>
            </w:pPr>
            <w:r w:rsidRPr="00441706">
              <w:rPr>
                <w:rFonts w:ascii="Times New Roman" w:hAnsi="Times New Roman"/>
                <w:iCs/>
                <w:noProof/>
                <w:sz w:val="24"/>
                <w:szCs w:val="24"/>
                <w:lang w:val="ro-RO"/>
              </w:rPr>
              <w:t>3.1</w:t>
            </w:r>
            <w:r w:rsidRPr="00441706">
              <w:rPr>
                <w:rFonts w:ascii="Times New Roman" w:hAnsi="Times New Roman"/>
                <w:iCs/>
                <w:noProof/>
                <w:sz w:val="24"/>
                <w:szCs w:val="24"/>
                <w:vertAlign w:val="superscript"/>
                <w:lang w:val="ro-RO"/>
              </w:rPr>
              <w:t xml:space="preserve">1 </w:t>
            </w:r>
            <w:r w:rsidR="001F4D14" w:rsidRPr="00441706">
              <w:rPr>
                <w:rFonts w:ascii="Times New Roman" w:hAnsi="Times New Roman"/>
                <w:iCs/>
                <w:noProof/>
                <w:sz w:val="24"/>
                <w:szCs w:val="24"/>
                <w:lang w:val="ro-RO"/>
              </w:rPr>
              <w:t>Impactul</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asupra</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mediului</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concurenţial</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şi</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domeniului</w:t>
            </w:r>
            <w:r w:rsidR="0071610B" w:rsidRPr="00441706">
              <w:rPr>
                <w:rFonts w:ascii="Times New Roman" w:hAnsi="Times New Roman"/>
                <w:iCs/>
                <w:noProof/>
                <w:sz w:val="24"/>
                <w:szCs w:val="24"/>
                <w:lang w:val="ro-RO"/>
              </w:rPr>
              <w:t xml:space="preserve"> </w:t>
            </w:r>
            <w:r w:rsidR="001F4D14" w:rsidRPr="00441706">
              <w:rPr>
                <w:rFonts w:ascii="Times New Roman" w:hAnsi="Times New Roman"/>
                <w:iCs/>
                <w:noProof/>
                <w:sz w:val="24"/>
                <w:szCs w:val="24"/>
                <w:lang w:val="ro-RO"/>
              </w:rPr>
              <w:t>ajutoarelor de stat</w:t>
            </w:r>
          </w:p>
        </w:tc>
        <w:tc>
          <w:tcPr>
            <w:tcW w:w="3330" w:type="pct"/>
            <w:gridSpan w:val="7"/>
            <w:vAlign w:val="center"/>
          </w:tcPr>
          <w:p w14:paraId="22CF5474" w14:textId="52EB2F9E" w:rsidR="001F4D14" w:rsidRPr="00441706" w:rsidRDefault="00FC6F58" w:rsidP="001C56CE">
            <w:pPr>
              <w:pStyle w:val="BodyText"/>
              <w:spacing w:before="0" w:after="0"/>
            </w:pPr>
            <w:r w:rsidRPr="00441706">
              <w:t xml:space="preserve">Măsura preluării pierderilor </w:t>
            </w:r>
            <w:r w:rsidR="00441706" w:rsidRPr="00441706">
              <w:t>rămase neacoperite prin diminuarea capitalului social al Societății Electrocentrale Grup SA efectuată înaintea fuziunii</w:t>
            </w:r>
            <w:r w:rsidRPr="00441706">
              <w:t xml:space="preserve"> nu implică acordarea unui sprijin financiar direct din fonduri publice. </w:t>
            </w:r>
            <w:r w:rsidR="00A0701C" w:rsidRPr="00441706">
              <w:t>Măsura propusă de reducere a capitalului social pentru acoperirea pierderilor istorice a Electrocentrale Grup SA reprezintă o operațiune de reorganizare internă a patrimoniului societății, fără a implica acordarea unui sprijin financiar direct din fonduri publice sau transfer de resurse de la stat către companie.</w:t>
            </w:r>
          </w:p>
          <w:p w14:paraId="0BF5A026" w14:textId="23EA6725" w:rsidR="00A0701C" w:rsidRPr="00441706" w:rsidRDefault="00A0701C" w:rsidP="001C56CE">
            <w:pPr>
              <w:pStyle w:val="BodyText"/>
              <w:spacing w:before="0" w:after="0"/>
            </w:pPr>
            <w:r w:rsidRPr="00441706">
              <w:t>Impactul asupra mediului concurențial este unul neutru, măsura neavând efecte distorsionante asupra concurenței pe piața națională sau internațională. Aceasta nu modifică condițiile de concurență și nici nu conferă un avantaj competitiv nejustificat în raport cu alte companii din sectorul energetic sau transporturi.</w:t>
            </w:r>
          </w:p>
          <w:p w14:paraId="08A13AAF" w14:textId="59CD01D5" w:rsidR="00A0701C" w:rsidRPr="00441706" w:rsidRDefault="00A0701C" w:rsidP="001C56CE">
            <w:pPr>
              <w:pStyle w:val="BodyText"/>
              <w:spacing w:before="0" w:after="0"/>
              <w:rPr>
                <w:noProof/>
              </w:rPr>
            </w:pPr>
          </w:p>
        </w:tc>
      </w:tr>
      <w:tr w:rsidR="001F4D14" w:rsidRPr="00441706" w14:paraId="64FBFF64" w14:textId="77777777" w:rsidTr="00BE7A9F">
        <w:tc>
          <w:tcPr>
            <w:tcW w:w="1670" w:type="pct"/>
            <w:vAlign w:val="center"/>
          </w:tcPr>
          <w:p w14:paraId="514B441B" w14:textId="77777777" w:rsidR="001F4D14" w:rsidRPr="00441706" w:rsidRDefault="007B29C6"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3.</w:t>
            </w:r>
            <w:r w:rsidR="001F4D14" w:rsidRPr="00441706">
              <w:rPr>
                <w:rFonts w:ascii="Times New Roman" w:eastAsia="Times New Roman" w:hAnsi="Times New Roman"/>
                <w:noProof/>
                <w:sz w:val="24"/>
                <w:szCs w:val="24"/>
                <w:lang w:val="ro-RO"/>
              </w:rPr>
              <w:t>2. Impactul asupra mediului de afaceri</w:t>
            </w:r>
          </w:p>
          <w:p w14:paraId="4F80935A" w14:textId="77777777" w:rsidR="001F4D14" w:rsidRPr="00441706" w:rsidRDefault="001F4D14" w:rsidP="001C56CE">
            <w:pPr>
              <w:spacing w:after="0" w:line="240" w:lineRule="auto"/>
              <w:jc w:val="both"/>
              <w:rPr>
                <w:rFonts w:ascii="Times New Roman" w:eastAsia="Times New Roman" w:hAnsi="Times New Roman"/>
                <w:noProof/>
                <w:sz w:val="24"/>
                <w:szCs w:val="24"/>
                <w:lang w:val="ro-RO"/>
              </w:rPr>
            </w:pPr>
          </w:p>
        </w:tc>
        <w:tc>
          <w:tcPr>
            <w:tcW w:w="3330" w:type="pct"/>
            <w:gridSpan w:val="7"/>
            <w:vAlign w:val="center"/>
          </w:tcPr>
          <w:p w14:paraId="5ECB4063" w14:textId="14EC3B6D" w:rsidR="00A0701C" w:rsidRPr="00441706" w:rsidRDefault="00A0701C" w:rsidP="001C56CE">
            <w:pPr>
              <w:pStyle w:val="BodyText"/>
              <w:spacing w:before="0" w:after="0"/>
            </w:pPr>
            <w:r w:rsidRPr="00441706">
              <w:t>Are un impact pozitiv asupra mediului de afaceri prin îmbunătățirea cadrului financiar și administrativ al societății, susținerea reformelor structurale din sectorul energetic, creșterea predictibilității și stabilității pieței, precum și prin alinierea la obiectivele strategice ale PNRR, contribuind la un climat investițional mai sigur și mai competitiv.</w:t>
            </w:r>
          </w:p>
          <w:p w14:paraId="12A1D1D8" w14:textId="4EEFC0FB" w:rsidR="001F4D14" w:rsidRPr="00441706" w:rsidRDefault="001F4D14" w:rsidP="001C56CE">
            <w:pPr>
              <w:spacing w:after="0" w:line="240" w:lineRule="auto"/>
              <w:jc w:val="both"/>
              <w:rPr>
                <w:rFonts w:ascii="Times New Roman" w:eastAsia="Times New Roman" w:hAnsi="Times New Roman"/>
                <w:noProof/>
                <w:sz w:val="24"/>
                <w:szCs w:val="24"/>
                <w:lang w:val="ro-RO"/>
              </w:rPr>
            </w:pPr>
          </w:p>
        </w:tc>
      </w:tr>
      <w:tr w:rsidR="001F4D14" w:rsidRPr="00441706" w14:paraId="75CA0ECD" w14:textId="77777777" w:rsidTr="00BE7A9F">
        <w:tc>
          <w:tcPr>
            <w:tcW w:w="1670" w:type="pct"/>
            <w:vAlign w:val="center"/>
          </w:tcPr>
          <w:p w14:paraId="32819AD0" w14:textId="77777777" w:rsidR="001F4D14" w:rsidRPr="00441706" w:rsidRDefault="001F4D14"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3.</w:t>
            </w:r>
            <w:r w:rsidR="007B29C6" w:rsidRPr="00441706">
              <w:rPr>
                <w:rFonts w:ascii="Times New Roman" w:eastAsia="Times New Roman" w:hAnsi="Times New Roman"/>
                <w:noProof/>
                <w:sz w:val="24"/>
                <w:szCs w:val="24"/>
                <w:lang w:val="ro-RO"/>
              </w:rPr>
              <w:t>3.</w:t>
            </w:r>
            <w:r w:rsidRPr="00441706">
              <w:rPr>
                <w:rFonts w:ascii="Times New Roman" w:eastAsia="Times New Roman" w:hAnsi="Times New Roman"/>
                <w:noProof/>
                <w:sz w:val="24"/>
                <w:szCs w:val="24"/>
                <w:lang w:val="ro-RO"/>
              </w:rPr>
              <w:t xml:space="preserve"> Impactul social    </w:t>
            </w:r>
          </w:p>
          <w:p w14:paraId="311CDE3A" w14:textId="77777777" w:rsidR="001F4D14" w:rsidRPr="00441706" w:rsidRDefault="001F4D14" w:rsidP="001C56CE">
            <w:pPr>
              <w:spacing w:after="0" w:line="240" w:lineRule="auto"/>
              <w:jc w:val="both"/>
              <w:rPr>
                <w:rFonts w:ascii="Times New Roman" w:eastAsia="Times New Roman" w:hAnsi="Times New Roman"/>
                <w:noProof/>
                <w:sz w:val="24"/>
                <w:szCs w:val="24"/>
                <w:lang w:val="ro-RO"/>
              </w:rPr>
            </w:pPr>
          </w:p>
        </w:tc>
        <w:tc>
          <w:tcPr>
            <w:tcW w:w="3330" w:type="pct"/>
            <w:gridSpan w:val="7"/>
            <w:vAlign w:val="center"/>
          </w:tcPr>
          <w:p w14:paraId="700E64D7" w14:textId="77AEC35A" w:rsidR="0018364C" w:rsidRPr="00441706" w:rsidRDefault="0018364C" w:rsidP="001C56CE">
            <w:pPr>
              <w:pStyle w:val="BodyText"/>
              <w:spacing w:before="0" w:after="0"/>
            </w:pPr>
            <w:r w:rsidRPr="00441706">
              <w:lastRenderedPageBreak/>
              <w:t xml:space="preserve">Este preponderent neutru pe termen scurt și pozitiv pe termen </w:t>
            </w:r>
            <w:r w:rsidRPr="00441706">
              <w:lastRenderedPageBreak/>
              <w:t>mediu. Măsura urmărește consolidarea situației patrimoniale a societății, în vederea asigurării continuității activității, a pregătirii procesului de restructurare și, după caz, a fuziunii, în condiții de stabilitate și predictibilitate. În acest mod, sunt create premisele reducerii riscului de disfuncționalități cu potențial impact negativ asupra personalului, asupra relațiilor de muncă și asupra comunității economice din care societatea face parte.</w:t>
            </w:r>
          </w:p>
          <w:p w14:paraId="733F7E5E" w14:textId="77777777" w:rsidR="0018364C" w:rsidRPr="00441706" w:rsidRDefault="0018364C" w:rsidP="001C56CE">
            <w:pPr>
              <w:pStyle w:val="BodyText"/>
              <w:spacing w:before="0" w:after="0"/>
            </w:pPr>
          </w:p>
          <w:p w14:paraId="65DFDC80" w14:textId="6B530A92" w:rsidR="0018364C" w:rsidRPr="00441706" w:rsidRDefault="001C56CE" w:rsidP="001C56CE">
            <w:pPr>
              <w:pStyle w:val="BodyText"/>
              <w:spacing w:before="0" w:after="0"/>
            </w:pPr>
            <w:r>
              <w:t>M</w:t>
            </w:r>
            <w:r w:rsidR="0018364C" w:rsidRPr="00441706">
              <w:t>ăsura contribuie la protejarea locurilor de muncă și la evitarea unor măsuri de ajustare dezordonate, cu efecte sociale adverse. Totodată, aceasta sprijină continuitatea unei activități economice cu relevanță strategică, inclusiv pentru partenerii comerciali și beneficiarii indirecți ai activității societății.</w:t>
            </w:r>
          </w:p>
          <w:p w14:paraId="581AFA2F" w14:textId="77777777" w:rsidR="0018364C" w:rsidRPr="00441706" w:rsidRDefault="0018364C" w:rsidP="001C56CE">
            <w:pPr>
              <w:pStyle w:val="BodyText"/>
              <w:spacing w:before="0" w:after="0"/>
            </w:pPr>
          </w:p>
          <w:p w14:paraId="1DFCB531" w14:textId="77777777" w:rsidR="0018364C" w:rsidRPr="00441706" w:rsidRDefault="0018364C" w:rsidP="001C56CE">
            <w:pPr>
              <w:pStyle w:val="BodyText"/>
              <w:spacing w:before="0" w:after="0"/>
            </w:pPr>
            <w:r w:rsidRPr="00441706">
              <w:t>Măsura este coerentă cu obiectivele asumate prin PNRR, inclusiv cu Ținta 443, întrucât facilitează procesul de restructurare și eficientizare a operatorilor economici de stat, în condiții de responsabilitate socială și administrare prudentă a resurselor publice.</w:t>
            </w:r>
          </w:p>
          <w:p w14:paraId="56C2447B" w14:textId="77777777" w:rsidR="001F4D14" w:rsidRPr="00441706" w:rsidRDefault="001F4D14" w:rsidP="001C56CE">
            <w:pPr>
              <w:pStyle w:val="BodyText"/>
              <w:spacing w:before="0" w:after="0"/>
            </w:pPr>
          </w:p>
        </w:tc>
      </w:tr>
      <w:tr w:rsidR="001F4D14" w:rsidRPr="00441706" w14:paraId="206F7BEA" w14:textId="77777777" w:rsidTr="00BE7A9F">
        <w:tc>
          <w:tcPr>
            <w:tcW w:w="1670" w:type="pct"/>
            <w:vAlign w:val="center"/>
          </w:tcPr>
          <w:p w14:paraId="63A6D2CB" w14:textId="77777777" w:rsidR="001F4D14"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lastRenderedPageBreak/>
              <w:t>3.</w:t>
            </w:r>
            <w:r w:rsidR="001F4D14" w:rsidRPr="00441706">
              <w:rPr>
                <w:rFonts w:ascii="Times New Roman" w:eastAsia="Times New Roman" w:hAnsi="Times New Roman"/>
                <w:noProof/>
                <w:sz w:val="24"/>
                <w:szCs w:val="24"/>
                <w:lang w:val="ro-RO"/>
              </w:rPr>
              <w:t xml:space="preserve">4. Impactul asupra mediului   </w:t>
            </w:r>
          </w:p>
          <w:p w14:paraId="11F1AD8F" w14:textId="77777777" w:rsidR="001F4D14" w:rsidRPr="00441706" w:rsidRDefault="001F4D14" w:rsidP="001C56CE">
            <w:pPr>
              <w:spacing w:after="0" w:line="240" w:lineRule="auto"/>
              <w:jc w:val="both"/>
              <w:rPr>
                <w:rFonts w:ascii="Times New Roman" w:eastAsia="Times New Roman" w:hAnsi="Times New Roman"/>
                <w:noProof/>
                <w:sz w:val="24"/>
                <w:szCs w:val="24"/>
                <w:lang w:val="ro-RO"/>
              </w:rPr>
            </w:pPr>
          </w:p>
        </w:tc>
        <w:tc>
          <w:tcPr>
            <w:tcW w:w="3330" w:type="pct"/>
            <w:gridSpan w:val="7"/>
            <w:vAlign w:val="center"/>
          </w:tcPr>
          <w:p w14:paraId="7F9C0B6E" w14:textId="77777777" w:rsidR="001F4D14"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F4D14" w:rsidRPr="00441706" w14:paraId="286474CE" w14:textId="77777777" w:rsidTr="00BE7A9F">
        <w:trPr>
          <w:trHeight w:val="530"/>
        </w:trPr>
        <w:tc>
          <w:tcPr>
            <w:tcW w:w="1670" w:type="pct"/>
            <w:vAlign w:val="center"/>
          </w:tcPr>
          <w:p w14:paraId="6FF18AB5" w14:textId="77777777" w:rsidR="001F4D14"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3.</w:t>
            </w:r>
            <w:r w:rsidR="001F4D14" w:rsidRPr="00441706">
              <w:rPr>
                <w:rFonts w:ascii="Times New Roman" w:eastAsia="Times New Roman" w:hAnsi="Times New Roman"/>
                <w:noProof/>
                <w:sz w:val="24"/>
                <w:szCs w:val="24"/>
                <w:lang w:val="ro-RO"/>
              </w:rPr>
              <w:t xml:space="preserve">5. Alte informaţii  </w:t>
            </w:r>
          </w:p>
          <w:p w14:paraId="206345A1" w14:textId="77777777" w:rsidR="001F4D14" w:rsidRPr="00441706" w:rsidRDefault="001F4D14" w:rsidP="001C56CE">
            <w:pPr>
              <w:spacing w:after="0" w:line="240" w:lineRule="auto"/>
              <w:jc w:val="both"/>
              <w:rPr>
                <w:rFonts w:ascii="Times New Roman" w:eastAsia="Times New Roman" w:hAnsi="Times New Roman"/>
                <w:noProof/>
                <w:sz w:val="24"/>
                <w:szCs w:val="24"/>
                <w:lang w:val="ro-RO"/>
              </w:rPr>
            </w:pPr>
          </w:p>
        </w:tc>
        <w:tc>
          <w:tcPr>
            <w:tcW w:w="3330" w:type="pct"/>
            <w:gridSpan w:val="7"/>
            <w:vAlign w:val="center"/>
          </w:tcPr>
          <w:p w14:paraId="1B72FF57" w14:textId="77777777" w:rsidR="00824477" w:rsidRPr="00441706" w:rsidRDefault="00824477" w:rsidP="001C56CE">
            <w:pPr>
              <w:autoSpaceDE w:val="0"/>
              <w:autoSpaceDN w:val="0"/>
              <w:adjustRightInd w:val="0"/>
              <w:spacing w:after="0" w:line="240" w:lineRule="auto"/>
              <w:jc w:val="both"/>
              <w:rPr>
                <w:rFonts w:ascii="Times New Roman" w:eastAsia="Times New Roman" w:hAnsi="Times New Roman"/>
                <w:noProof/>
                <w:sz w:val="24"/>
                <w:szCs w:val="24"/>
                <w:lang w:val="ro-RO"/>
              </w:rPr>
            </w:pPr>
          </w:p>
          <w:p w14:paraId="0A5D50D1" w14:textId="2C63C567" w:rsidR="004D26F0" w:rsidRPr="00441706" w:rsidRDefault="001F4D14"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Actul normativ nu se referă la acest subiect</w:t>
            </w:r>
          </w:p>
          <w:p w14:paraId="38F22A9B" w14:textId="77777777" w:rsidR="004D26F0" w:rsidRPr="00441706" w:rsidRDefault="004D26F0" w:rsidP="001C56CE">
            <w:pPr>
              <w:autoSpaceDE w:val="0"/>
              <w:autoSpaceDN w:val="0"/>
              <w:adjustRightInd w:val="0"/>
              <w:spacing w:after="0" w:line="240" w:lineRule="auto"/>
              <w:jc w:val="both"/>
              <w:rPr>
                <w:rFonts w:ascii="Times New Roman" w:eastAsia="Times New Roman" w:hAnsi="Times New Roman"/>
                <w:noProof/>
                <w:sz w:val="24"/>
                <w:szCs w:val="24"/>
                <w:lang w:val="ro-RO"/>
              </w:rPr>
            </w:pPr>
          </w:p>
          <w:p w14:paraId="3D595D7E" w14:textId="77777777" w:rsidR="00824477" w:rsidRPr="00441706" w:rsidRDefault="00824477" w:rsidP="001C56CE">
            <w:pPr>
              <w:autoSpaceDE w:val="0"/>
              <w:autoSpaceDN w:val="0"/>
              <w:adjustRightInd w:val="0"/>
              <w:spacing w:after="0" w:line="240" w:lineRule="auto"/>
              <w:jc w:val="both"/>
              <w:rPr>
                <w:rFonts w:ascii="Times New Roman" w:eastAsia="Times New Roman" w:hAnsi="Times New Roman"/>
                <w:noProof/>
                <w:sz w:val="24"/>
                <w:szCs w:val="24"/>
                <w:lang w:val="ro-RO"/>
              </w:rPr>
            </w:pPr>
          </w:p>
        </w:tc>
      </w:tr>
      <w:tr w:rsidR="001F4D14" w:rsidRPr="00441706" w14:paraId="673AE117" w14:textId="77777777" w:rsidTr="00BE7A9F">
        <w:tc>
          <w:tcPr>
            <w:tcW w:w="5000" w:type="pct"/>
            <w:gridSpan w:val="8"/>
            <w:vAlign w:val="center"/>
          </w:tcPr>
          <w:p w14:paraId="30E1C7FF" w14:textId="6643D5B9" w:rsidR="000A024C" w:rsidRPr="001C56CE" w:rsidRDefault="000A024C"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p>
          <w:p w14:paraId="0E292524" w14:textId="77777777" w:rsidR="00A4714C" w:rsidRPr="001C56CE" w:rsidRDefault="00A4714C"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p>
          <w:p w14:paraId="60C24E36" w14:textId="77777777" w:rsidR="001F4D14" w:rsidRPr="001C56CE" w:rsidRDefault="001F4D14"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1C56CE">
              <w:rPr>
                <w:rFonts w:ascii="Times New Roman" w:eastAsia="Times New Roman" w:hAnsi="Times New Roman"/>
                <w:b/>
                <w:noProof/>
                <w:sz w:val="24"/>
                <w:szCs w:val="24"/>
                <w:lang w:val="ro-RO"/>
              </w:rPr>
              <w:t>Secţiunea a 4-a</w:t>
            </w:r>
          </w:p>
          <w:p w14:paraId="193F5FE3" w14:textId="77777777" w:rsidR="001F4D14" w:rsidRPr="001C56CE" w:rsidRDefault="001F4D14"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1C56CE">
              <w:rPr>
                <w:rFonts w:ascii="Times New Roman" w:eastAsia="Times New Roman" w:hAnsi="Times New Roman"/>
                <w:b/>
                <w:noProof/>
                <w:sz w:val="24"/>
                <w:szCs w:val="24"/>
                <w:lang w:val="ro-RO"/>
              </w:rPr>
              <w:t>Impactul financiar asupra bugetului general consolidat, atât pe termen scurt, pentru anul curent, cât şi pe termen lung (pe 5 ani)</w:t>
            </w:r>
            <w:r w:rsidR="0052599A" w:rsidRPr="001C56CE">
              <w:rPr>
                <w:rFonts w:ascii="Times New Roman" w:eastAsia="Times New Roman" w:hAnsi="Times New Roman"/>
                <w:b/>
                <w:noProof/>
                <w:sz w:val="24"/>
                <w:szCs w:val="24"/>
                <w:lang w:val="ro-RO"/>
              </w:rPr>
              <w:t xml:space="preserve"> - mil lei -</w:t>
            </w:r>
          </w:p>
          <w:p w14:paraId="2F4E3B04" w14:textId="77777777" w:rsidR="001F4D14" w:rsidRPr="001C56CE" w:rsidRDefault="001F4D14" w:rsidP="001C56CE">
            <w:pPr>
              <w:autoSpaceDE w:val="0"/>
              <w:autoSpaceDN w:val="0"/>
              <w:adjustRightInd w:val="0"/>
              <w:spacing w:after="0" w:line="240" w:lineRule="auto"/>
              <w:jc w:val="both"/>
              <w:rPr>
                <w:rFonts w:ascii="Times New Roman" w:eastAsia="Times New Roman" w:hAnsi="Times New Roman"/>
                <w:b/>
                <w:noProof/>
                <w:sz w:val="24"/>
                <w:szCs w:val="24"/>
                <w:lang w:val="ro-RO"/>
              </w:rPr>
            </w:pPr>
          </w:p>
        </w:tc>
      </w:tr>
      <w:tr w:rsidR="001F4D14" w:rsidRPr="00441706" w14:paraId="00A459F0" w14:textId="77777777" w:rsidTr="004D26F0">
        <w:tc>
          <w:tcPr>
            <w:tcW w:w="1697" w:type="pct"/>
            <w:gridSpan w:val="2"/>
            <w:vAlign w:val="center"/>
          </w:tcPr>
          <w:p w14:paraId="58DA2AFC" w14:textId="77777777" w:rsidR="001F4D14" w:rsidRPr="00441706" w:rsidRDefault="001F4D14" w:rsidP="001C56CE">
            <w:pPr>
              <w:spacing w:after="0" w:line="240" w:lineRule="auto"/>
              <w:jc w:val="center"/>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Indicatori</w:t>
            </w:r>
          </w:p>
        </w:tc>
        <w:tc>
          <w:tcPr>
            <w:tcW w:w="834" w:type="pct"/>
            <w:vAlign w:val="center"/>
          </w:tcPr>
          <w:p w14:paraId="44AFFA83" w14:textId="77777777" w:rsidR="001F4D14" w:rsidRPr="00441706" w:rsidRDefault="001F4D14" w:rsidP="001C56CE">
            <w:pPr>
              <w:spacing w:after="0" w:line="240" w:lineRule="auto"/>
              <w:jc w:val="center"/>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Anul curent</w:t>
            </w:r>
          </w:p>
        </w:tc>
        <w:tc>
          <w:tcPr>
            <w:tcW w:w="1895" w:type="pct"/>
            <w:gridSpan w:val="4"/>
            <w:vAlign w:val="center"/>
          </w:tcPr>
          <w:p w14:paraId="2E2A3BD2" w14:textId="77777777" w:rsidR="001F4D14" w:rsidRPr="001C56CE" w:rsidRDefault="001F4D14"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Următorii 4 ani</w:t>
            </w:r>
          </w:p>
        </w:tc>
        <w:tc>
          <w:tcPr>
            <w:tcW w:w="574" w:type="pct"/>
            <w:vAlign w:val="center"/>
          </w:tcPr>
          <w:p w14:paraId="2545C507" w14:textId="77777777" w:rsidR="001F4D14" w:rsidRPr="001C56CE" w:rsidRDefault="001F4D14"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Media pe 5 ani</w:t>
            </w:r>
          </w:p>
        </w:tc>
      </w:tr>
      <w:tr w:rsidR="001C1D92" w:rsidRPr="00441706" w14:paraId="345492FB" w14:textId="77777777" w:rsidTr="004D26F0">
        <w:tc>
          <w:tcPr>
            <w:tcW w:w="1697" w:type="pct"/>
            <w:gridSpan w:val="2"/>
            <w:vAlign w:val="center"/>
          </w:tcPr>
          <w:p w14:paraId="3C1B0F19" w14:textId="77777777" w:rsidR="001C1D92" w:rsidRPr="00441706" w:rsidRDefault="001C1D92" w:rsidP="001C56CE">
            <w:pPr>
              <w:spacing w:after="0" w:line="240" w:lineRule="auto"/>
              <w:jc w:val="center"/>
              <w:rPr>
                <w:rFonts w:ascii="Times New Roman" w:eastAsia="Times New Roman" w:hAnsi="Times New Roman"/>
                <w:noProof/>
                <w:sz w:val="24"/>
                <w:szCs w:val="24"/>
                <w:lang w:val="ro-RO"/>
              </w:rPr>
            </w:pPr>
          </w:p>
        </w:tc>
        <w:tc>
          <w:tcPr>
            <w:tcW w:w="834" w:type="pct"/>
            <w:vAlign w:val="center"/>
          </w:tcPr>
          <w:p w14:paraId="751F13C9" w14:textId="77777777" w:rsidR="001C1D92" w:rsidRPr="00441706" w:rsidRDefault="001C1D92" w:rsidP="001C56CE">
            <w:pPr>
              <w:spacing w:after="0" w:line="240" w:lineRule="auto"/>
              <w:jc w:val="center"/>
              <w:rPr>
                <w:rFonts w:ascii="Times New Roman" w:eastAsia="Times New Roman" w:hAnsi="Times New Roman"/>
                <w:noProof/>
                <w:sz w:val="24"/>
                <w:szCs w:val="24"/>
                <w:lang w:val="ro-RO"/>
              </w:rPr>
            </w:pPr>
          </w:p>
        </w:tc>
        <w:tc>
          <w:tcPr>
            <w:tcW w:w="436" w:type="pct"/>
            <w:vAlign w:val="center"/>
          </w:tcPr>
          <w:p w14:paraId="44470C4B" w14:textId="5D5BD09D"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202</w:t>
            </w:r>
            <w:r w:rsidR="0018364C" w:rsidRPr="001C56CE">
              <w:rPr>
                <w:rFonts w:ascii="Times New Roman" w:eastAsia="Times New Roman" w:hAnsi="Times New Roman"/>
                <w:noProof/>
                <w:sz w:val="24"/>
                <w:szCs w:val="24"/>
                <w:lang w:val="ro-RO"/>
              </w:rPr>
              <w:t>7</w:t>
            </w:r>
          </w:p>
        </w:tc>
        <w:tc>
          <w:tcPr>
            <w:tcW w:w="507" w:type="pct"/>
            <w:vAlign w:val="center"/>
          </w:tcPr>
          <w:p w14:paraId="74AF5FE7" w14:textId="25149E7C"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202</w:t>
            </w:r>
            <w:r w:rsidR="0018364C" w:rsidRPr="001C56CE">
              <w:rPr>
                <w:rFonts w:ascii="Times New Roman" w:eastAsia="Times New Roman" w:hAnsi="Times New Roman"/>
                <w:noProof/>
                <w:sz w:val="24"/>
                <w:szCs w:val="24"/>
                <w:lang w:val="ro-RO"/>
              </w:rPr>
              <w:t>8</w:t>
            </w:r>
          </w:p>
        </w:tc>
        <w:tc>
          <w:tcPr>
            <w:tcW w:w="436" w:type="pct"/>
            <w:vAlign w:val="center"/>
          </w:tcPr>
          <w:p w14:paraId="06FF05C6" w14:textId="573CC03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202</w:t>
            </w:r>
            <w:r w:rsidR="0018364C" w:rsidRPr="001C56CE">
              <w:rPr>
                <w:rFonts w:ascii="Times New Roman" w:eastAsia="Times New Roman" w:hAnsi="Times New Roman"/>
                <w:noProof/>
                <w:sz w:val="24"/>
                <w:szCs w:val="24"/>
                <w:lang w:val="ro-RO"/>
              </w:rPr>
              <w:t>9</w:t>
            </w:r>
          </w:p>
        </w:tc>
        <w:tc>
          <w:tcPr>
            <w:tcW w:w="516" w:type="pct"/>
            <w:vAlign w:val="center"/>
          </w:tcPr>
          <w:p w14:paraId="008D434B" w14:textId="3ACB768E"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20</w:t>
            </w:r>
            <w:r w:rsidR="0018364C" w:rsidRPr="001C56CE">
              <w:rPr>
                <w:rFonts w:ascii="Times New Roman" w:eastAsia="Times New Roman" w:hAnsi="Times New Roman"/>
                <w:noProof/>
                <w:sz w:val="24"/>
                <w:szCs w:val="24"/>
                <w:lang w:val="ro-RO"/>
              </w:rPr>
              <w:t>30</w:t>
            </w:r>
          </w:p>
        </w:tc>
        <w:tc>
          <w:tcPr>
            <w:tcW w:w="574" w:type="pct"/>
            <w:vAlign w:val="center"/>
          </w:tcPr>
          <w:p w14:paraId="465B36DD"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p>
        </w:tc>
      </w:tr>
      <w:tr w:rsidR="001C1D92" w:rsidRPr="00441706" w14:paraId="2AC9ABA6" w14:textId="77777777" w:rsidTr="004D26F0">
        <w:tc>
          <w:tcPr>
            <w:tcW w:w="1697" w:type="pct"/>
            <w:gridSpan w:val="2"/>
            <w:vAlign w:val="center"/>
          </w:tcPr>
          <w:p w14:paraId="2B976C32" w14:textId="77777777" w:rsidR="001C1D92" w:rsidRPr="00441706" w:rsidRDefault="001C1D92" w:rsidP="001C56CE">
            <w:pPr>
              <w:spacing w:after="0" w:line="240" w:lineRule="auto"/>
              <w:jc w:val="center"/>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1</w:t>
            </w:r>
          </w:p>
        </w:tc>
        <w:tc>
          <w:tcPr>
            <w:tcW w:w="834" w:type="pct"/>
            <w:vAlign w:val="center"/>
          </w:tcPr>
          <w:p w14:paraId="6B1E78CD" w14:textId="77777777" w:rsidR="001C1D92" w:rsidRPr="00441706" w:rsidRDefault="001C1D92" w:rsidP="001C56CE">
            <w:pPr>
              <w:spacing w:after="0" w:line="240" w:lineRule="auto"/>
              <w:jc w:val="center"/>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2</w:t>
            </w:r>
          </w:p>
        </w:tc>
        <w:tc>
          <w:tcPr>
            <w:tcW w:w="436" w:type="pct"/>
            <w:vAlign w:val="center"/>
          </w:tcPr>
          <w:p w14:paraId="0B0D4AFC"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3</w:t>
            </w:r>
          </w:p>
        </w:tc>
        <w:tc>
          <w:tcPr>
            <w:tcW w:w="507" w:type="pct"/>
            <w:vAlign w:val="center"/>
          </w:tcPr>
          <w:p w14:paraId="1802586D"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4</w:t>
            </w:r>
          </w:p>
        </w:tc>
        <w:tc>
          <w:tcPr>
            <w:tcW w:w="436" w:type="pct"/>
            <w:vAlign w:val="center"/>
          </w:tcPr>
          <w:p w14:paraId="2D070DE3"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5</w:t>
            </w:r>
          </w:p>
        </w:tc>
        <w:tc>
          <w:tcPr>
            <w:tcW w:w="516" w:type="pct"/>
            <w:vAlign w:val="center"/>
          </w:tcPr>
          <w:p w14:paraId="02AC9177"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6</w:t>
            </w:r>
          </w:p>
        </w:tc>
        <w:tc>
          <w:tcPr>
            <w:tcW w:w="574" w:type="pct"/>
            <w:vAlign w:val="center"/>
          </w:tcPr>
          <w:p w14:paraId="31552719" w14:textId="77777777" w:rsidR="001C1D92" w:rsidRPr="001C56CE" w:rsidRDefault="001C1D92" w:rsidP="001C56CE">
            <w:pPr>
              <w:spacing w:after="0" w:line="240" w:lineRule="auto"/>
              <w:jc w:val="center"/>
              <w:rPr>
                <w:rFonts w:ascii="Times New Roman" w:eastAsia="Times New Roman" w:hAnsi="Times New Roman"/>
                <w:noProof/>
                <w:sz w:val="24"/>
                <w:szCs w:val="24"/>
                <w:lang w:val="ro-RO"/>
              </w:rPr>
            </w:pPr>
            <w:r w:rsidRPr="001C56CE">
              <w:rPr>
                <w:rFonts w:ascii="Times New Roman" w:eastAsia="Times New Roman" w:hAnsi="Times New Roman"/>
                <w:noProof/>
                <w:sz w:val="24"/>
                <w:szCs w:val="24"/>
                <w:lang w:val="ro-RO"/>
              </w:rPr>
              <w:t>7</w:t>
            </w:r>
          </w:p>
        </w:tc>
      </w:tr>
      <w:tr w:rsidR="001C1D92" w:rsidRPr="00441706" w14:paraId="67146B0F" w14:textId="77777777" w:rsidTr="004D26F0">
        <w:tc>
          <w:tcPr>
            <w:tcW w:w="1697" w:type="pct"/>
            <w:gridSpan w:val="2"/>
            <w:vAlign w:val="center"/>
          </w:tcPr>
          <w:p w14:paraId="15CAC750"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1. Modificări ale veniturilor bugetare, plus/minus, din care:</w:t>
            </w:r>
          </w:p>
          <w:p w14:paraId="1F4D10E5"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 buget de stat, din acesta:</w:t>
            </w:r>
          </w:p>
          <w:p w14:paraId="6A8DE9F2"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 impozit pe profit</w:t>
            </w:r>
          </w:p>
          <w:p w14:paraId="6154D110"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(ii) impozit pe venit</w:t>
            </w:r>
          </w:p>
          <w:p w14:paraId="0DE53F16"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b) bugete locale:</w:t>
            </w:r>
          </w:p>
          <w:p w14:paraId="2EB1F487"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 impozit pe profit</w:t>
            </w:r>
          </w:p>
          <w:p w14:paraId="7BFEA818"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c) bugetul asigurărilor sociale de stat:</w:t>
            </w:r>
          </w:p>
          <w:p w14:paraId="7383A4BD"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 contribuţii de asigurări    </w:t>
            </w:r>
          </w:p>
        </w:tc>
        <w:tc>
          <w:tcPr>
            <w:tcW w:w="834" w:type="pct"/>
            <w:vAlign w:val="center"/>
          </w:tcPr>
          <w:p w14:paraId="1C53E8F7" w14:textId="672EF039" w:rsidR="001C1D92" w:rsidRPr="00441706" w:rsidRDefault="00BF1864" w:rsidP="001C56CE">
            <w:pPr>
              <w:spacing w:after="0" w:line="240" w:lineRule="auto"/>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Nu este cazul</w:t>
            </w:r>
          </w:p>
        </w:tc>
        <w:tc>
          <w:tcPr>
            <w:tcW w:w="436" w:type="pct"/>
            <w:vAlign w:val="center"/>
          </w:tcPr>
          <w:p w14:paraId="5A1CFA69" w14:textId="5CBD8E84" w:rsidR="001C1D92" w:rsidRPr="00441706" w:rsidRDefault="00BF1864" w:rsidP="001C56CE">
            <w:pPr>
              <w:spacing w:after="0" w:line="240" w:lineRule="auto"/>
              <w:jc w:val="both"/>
              <w:rPr>
                <w:rFonts w:ascii="Times New Roman" w:eastAsia="Times New Roman" w:hAnsi="Times New Roman"/>
                <w:noProof/>
                <w:sz w:val="24"/>
                <w:szCs w:val="24"/>
                <w:highlight w:val="yellow"/>
                <w:lang w:val="ro-RO"/>
              </w:rPr>
            </w:pPr>
            <w:r w:rsidRPr="00441706">
              <w:rPr>
                <w:rFonts w:ascii="Times New Roman" w:eastAsia="Times New Roman" w:hAnsi="Times New Roman"/>
                <w:noProof/>
                <w:sz w:val="24"/>
                <w:szCs w:val="24"/>
                <w:lang w:val="ro-RO"/>
              </w:rPr>
              <w:t>Nu este cazul</w:t>
            </w:r>
          </w:p>
        </w:tc>
        <w:tc>
          <w:tcPr>
            <w:tcW w:w="507" w:type="pct"/>
            <w:vAlign w:val="center"/>
          </w:tcPr>
          <w:p w14:paraId="24BF6E34" w14:textId="6F11540A" w:rsidR="001C1D92" w:rsidRPr="00441706" w:rsidRDefault="00BF1864" w:rsidP="001C56CE">
            <w:pPr>
              <w:spacing w:after="0" w:line="240" w:lineRule="auto"/>
              <w:jc w:val="both"/>
              <w:rPr>
                <w:rFonts w:ascii="Times New Roman" w:eastAsia="Times New Roman" w:hAnsi="Times New Roman"/>
                <w:noProof/>
                <w:sz w:val="24"/>
                <w:szCs w:val="24"/>
                <w:highlight w:val="yellow"/>
                <w:lang w:val="ro-RO"/>
              </w:rPr>
            </w:pPr>
            <w:r w:rsidRPr="00441706">
              <w:rPr>
                <w:rFonts w:ascii="Times New Roman" w:eastAsia="Times New Roman" w:hAnsi="Times New Roman"/>
                <w:noProof/>
                <w:sz w:val="24"/>
                <w:szCs w:val="24"/>
                <w:lang w:val="ro-RO"/>
              </w:rPr>
              <w:t>Nu este cazul</w:t>
            </w:r>
          </w:p>
        </w:tc>
        <w:tc>
          <w:tcPr>
            <w:tcW w:w="436" w:type="pct"/>
            <w:vAlign w:val="center"/>
          </w:tcPr>
          <w:p w14:paraId="5EF3957C" w14:textId="06D1E7AA" w:rsidR="001C1D92" w:rsidRPr="00441706" w:rsidRDefault="00BF1864" w:rsidP="001C56CE">
            <w:pPr>
              <w:spacing w:after="0" w:line="240" w:lineRule="auto"/>
              <w:jc w:val="both"/>
              <w:rPr>
                <w:rFonts w:ascii="Times New Roman" w:eastAsia="Times New Roman" w:hAnsi="Times New Roman"/>
                <w:noProof/>
                <w:sz w:val="24"/>
                <w:szCs w:val="24"/>
                <w:highlight w:val="yellow"/>
                <w:lang w:val="ro-RO"/>
              </w:rPr>
            </w:pPr>
            <w:r w:rsidRPr="00441706">
              <w:rPr>
                <w:rFonts w:ascii="Times New Roman" w:eastAsia="Times New Roman" w:hAnsi="Times New Roman"/>
                <w:noProof/>
                <w:sz w:val="24"/>
                <w:szCs w:val="24"/>
                <w:lang w:val="ro-RO"/>
              </w:rPr>
              <w:t>Nu este cazul</w:t>
            </w:r>
          </w:p>
        </w:tc>
        <w:tc>
          <w:tcPr>
            <w:tcW w:w="516" w:type="pct"/>
            <w:vAlign w:val="center"/>
          </w:tcPr>
          <w:p w14:paraId="41BA92A9" w14:textId="3DB12B1E" w:rsidR="001C1D92" w:rsidRPr="00441706" w:rsidRDefault="00BF1864" w:rsidP="001C56CE">
            <w:pPr>
              <w:spacing w:after="0" w:line="240" w:lineRule="auto"/>
              <w:jc w:val="both"/>
              <w:rPr>
                <w:rFonts w:ascii="Times New Roman" w:eastAsia="Times New Roman" w:hAnsi="Times New Roman"/>
                <w:noProof/>
                <w:sz w:val="24"/>
                <w:szCs w:val="24"/>
                <w:highlight w:val="yellow"/>
                <w:lang w:val="ro-RO"/>
              </w:rPr>
            </w:pPr>
            <w:r w:rsidRPr="00441706">
              <w:rPr>
                <w:rFonts w:ascii="Times New Roman" w:eastAsia="Times New Roman" w:hAnsi="Times New Roman"/>
                <w:noProof/>
                <w:sz w:val="24"/>
                <w:szCs w:val="24"/>
                <w:lang w:val="ro-RO"/>
              </w:rPr>
              <w:t>Nu este cazul</w:t>
            </w:r>
          </w:p>
        </w:tc>
        <w:tc>
          <w:tcPr>
            <w:tcW w:w="574" w:type="pct"/>
            <w:vAlign w:val="center"/>
          </w:tcPr>
          <w:p w14:paraId="2D99245A" w14:textId="50CFE6E1" w:rsidR="001C1D92" w:rsidRPr="00441706" w:rsidRDefault="00BF1864"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Nu este cazul</w:t>
            </w:r>
          </w:p>
        </w:tc>
      </w:tr>
      <w:tr w:rsidR="001C1D92" w:rsidRPr="00441706" w14:paraId="200ECE92" w14:textId="77777777" w:rsidTr="004D26F0">
        <w:tc>
          <w:tcPr>
            <w:tcW w:w="1697" w:type="pct"/>
            <w:gridSpan w:val="2"/>
            <w:vAlign w:val="center"/>
          </w:tcPr>
          <w:p w14:paraId="155BFA8A"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2. Modificări ale cheltuielilor bugetare, plus, din care:</w:t>
            </w:r>
          </w:p>
          <w:p w14:paraId="04A73CAE"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 buget de stat, din acesta:</w:t>
            </w:r>
          </w:p>
          <w:p w14:paraId="1ECF89B3"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 cheltuieli de personal</w:t>
            </w:r>
          </w:p>
          <w:p w14:paraId="1AE24B22"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(ii) transferuri               </w:t>
            </w:r>
          </w:p>
          <w:p w14:paraId="7669062E"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lastRenderedPageBreak/>
              <w:t>c) bugetul FNUAS, din care:</w:t>
            </w:r>
          </w:p>
          <w:p w14:paraId="361F00B5"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(i) bunuri şi servicii</w:t>
            </w:r>
          </w:p>
        </w:tc>
        <w:tc>
          <w:tcPr>
            <w:tcW w:w="834" w:type="pct"/>
            <w:vAlign w:val="center"/>
          </w:tcPr>
          <w:p w14:paraId="5E6AEC1B"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46F0A52B"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18FD48E7"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47E27712"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55FECD5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2B199B9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07" w:type="pct"/>
            <w:vAlign w:val="center"/>
          </w:tcPr>
          <w:p w14:paraId="1071CC4A"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78B6F8B6"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1E70696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5988AE65"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6B973CF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2409EB1B"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16" w:type="pct"/>
            <w:vAlign w:val="center"/>
          </w:tcPr>
          <w:p w14:paraId="2B8D208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6025E44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28B4A1E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34B4411C"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74" w:type="pct"/>
            <w:vAlign w:val="center"/>
          </w:tcPr>
          <w:p w14:paraId="0232A45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6BD871C7"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6991D202"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1A328B18"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5436ECCF" w14:textId="77777777" w:rsidTr="004D26F0">
        <w:tc>
          <w:tcPr>
            <w:tcW w:w="1697" w:type="pct"/>
            <w:gridSpan w:val="2"/>
            <w:vAlign w:val="center"/>
          </w:tcPr>
          <w:p w14:paraId="73176903"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3. Impact financiar, plus/minus, din care:</w:t>
            </w:r>
          </w:p>
          <w:p w14:paraId="64249E36"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 buget de stat</w:t>
            </w:r>
          </w:p>
          <w:p w14:paraId="6BD65CD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b) bugete locale                  </w:t>
            </w:r>
          </w:p>
        </w:tc>
        <w:tc>
          <w:tcPr>
            <w:tcW w:w="834" w:type="pct"/>
            <w:vAlign w:val="center"/>
          </w:tcPr>
          <w:p w14:paraId="19B4EBD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4CC96104"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649BA73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426B2E9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p w14:paraId="24E649F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07" w:type="pct"/>
            <w:vAlign w:val="center"/>
          </w:tcPr>
          <w:p w14:paraId="31B15C88"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7C379D47"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16" w:type="pct"/>
            <w:vAlign w:val="center"/>
          </w:tcPr>
          <w:p w14:paraId="7C999EC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74" w:type="pct"/>
            <w:vAlign w:val="center"/>
          </w:tcPr>
          <w:p w14:paraId="2C6C5CF5"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7B65EF88" w14:textId="77777777" w:rsidTr="004D26F0">
        <w:trPr>
          <w:trHeight w:val="564"/>
        </w:trPr>
        <w:tc>
          <w:tcPr>
            <w:tcW w:w="1697" w:type="pct"/>
            <w:gridSpan w:val="2"/>
            <w:vAlign w:val="center"/>
          </w:tcPr>
          <w:p w14:paraId="5A2797D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4. Propuneri pentru acoperirea creşterii cheltuielilor bugetare</w:t>
            </w:r>
          </w:p>
        </w:tc>
        <w:tc>
          <w:tcPr>
            <w:tcW w:w="834" w:type="pct"/>
            <w:vAlign w:val="center"/>
          </w:tcPr>
          <w:p w14:paraId="3BF805D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3505E06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07" w:type="pct"/>
            <w:vAlign w:val="center"/>
          </w:tcPr>
          <w:p w14:paraId="3D7F9A14"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6346BAF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16" w:type="pct"/>
            <w:vAlign w:val="center"/>
          </w:tcPr>
          <w:p w14:paraId="2B80984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74" w:type="pct"/>
            <w:vAlign w:val="center"/>
          </w:tcPr>
          <w:p w14:paraId="7F5F0594"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73393165" w14:textId="77777777" w:rsidTr="004D26F0">
        <w:tc>
          <w:tcPr>
            <w:tcW w:w="1697" w:type="pct"/>
            <w:gridSpan w:val="2"/>
            <w:vAlign w:val="center"/>
          </w:tcPr>
          <w:p w14:paraId="10A31C7C"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5. Propuneri pentru a compensa reducerea veniturilor bugetare               </w:t>
            </w:r>
          </w:p>
        </w:tc>
        <w:tc>
          <w:tcPr>
            <w:tcW w:w="834" w:type="pct"/>
            <w:vAlign w:val="center"/>
          </w:tcPr>
          <w:p w14:paraId="5C88800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7BA5B66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07" w:type="pct"/>
            <w:vAlign w:val="center"/>
          </w:tcPr>
          <w:p w14:paraId="1F54AB40"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0E3A7186"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16" w:type="pct"/>
            <w:vAlign w:val="center"/>
          </w:tcPr>
          <w:p w14:paraId="7321C8CA"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74" w:type="pct"/>
            <w:vAlign w:val="center"/>
          </w:tcPr>
          <w:p w14:paraId="7220E68A"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5AB8B24D" w14:textId="77777777" w:rsidTr="004D26F0">
        <w:tc>
          <w:tcPr>
            <w:tcW w:w="1697" w:type="pct"/>
            <w:gridSpan w:val="2"/>
            <w:vAlign w:val="center"/>
          </w:tcPr>
          <w:p w14:paraId="7428D3D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6. Calcule detaliate privind fundamentarea modificărilor veniturilor şi/sau cheltuielilor bugetare     </w:t>
            </w:r>
          </w:p>
          <w:p w14:paraId="5D54E64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a) de la bugetul de stat    </w:t>
            </w:r>
          </w:p>
          <w:p w14:paraId="1D142584"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 b) din bugetul FNUAS </w:t>
            </w:r>
          </w:p>
        </w:tc>
        <w:tc>
          <w:tcPr>
            <w:tcW w:w="834" w:type="pct"/>
            <w:vAlign w:val="center"/>
          </w:tcPr>
          <w:p w14:paraId="28EFF100"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17FD61BF"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07" w:type="pct"/>
            <w:vAlign w:val="center"/>
          </w:tcPr>
          <w:p w14:paraId="6E9BA092"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436" w:type="pct"/>
            <w:vAlign w:val="center"/>
          </w:tcPr>
          <w:p w14:paraId="636BE61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16" w:type="pct"/>
            <w:vAlign w:val="center"/>
          </w:tcPr>
          <w:p w14:paraId="3D67E816"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c>
          <w:tcPr>
            <w:tcW w:w="574" w:type="pct"/>
            <w:vAlign w:val="center"/>
          </w:tcPr>
          <w:p w14:paraId="563F700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BE7A9F" w:rsidRPr="00441706" w14:paraId="6CA6125E" w14:textId="77777777" w:rsidTr="004D26F0">
        <w:tc>
          <w:tcPr>
            <w:tcW w:w="1697" w:type="pct"/>
            <w:gridSpan w:val="2"/>
            <w:vAlign w:val="center"/>
          </w:tcPr>
          <w:p w14:paraId="7A9D08F0" w14:textId="77777777" w:rsidR="00BE7A9F"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7. Alte informaţii                       </w:t>
            </w:r>
          </w:p>
        </w:tc>
        <w:tc>
          <w:tcPr>
            <w:tcW w:w="3303" w:type="pct"/>
            <w:gridSpan w:val="6"/>
            <w:vAlign w:val="center"/>
          </w:tcPr>
          <w:p w14:paraId="756CDEA3" w14:textId="77777777" w:rsidR="00BE7A9F" w:rsidRPr="00441706" w:rsidRDefault="00BE7A9F" w:rsidP="001C56CE">
            <w:pPr>
              <w:spacing w:after="0" w:line="240" w:lineRule="auto"/>
              <w:jc w:val="both"/>
              <w:rPr>
                <w:rFonts w:ascii="Times New Roman" w:eastAsia="Times New Roman" w:hAnsi="Times New Roman"/>
                <w:noProof/>
                <w:sz w:val="24"/>
                <w:szCs w:val="24"/>
                <w:lang w:val="ro-RO"/>
              </w:rPr>
            </w:pPr>
          </w:p>
        </w:tc>
      </w:tr>
      <w:tr w:rsidR="001C1D92" w:rsidRPr="00441706" w14:paraId="5B6E0205" w14:textId="77777777" w:rsidTr="00BE7A9F">
        <w:tc>
          <w:tcPr>
            <w:tcW w:w="5000" w:type="pct"/>
            <w:gridSpan w:val="8"/>
            <w:vAlign w:val="center"/>
          </w:tcPr>
          <w:p w14:paraId="3A1B836E"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p>
          <w:p w14:paraId="4C8DE05D"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5-a</w:t>
            </w:r>
          </w:p>
          <w:p w14:paraId="79E51B9C"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 xml:space="preserve">Efectele </w:t>
            </w:r>
            <w:r w:rsidR="00BE7A9F" w:rsidRPr="00441706">
              <w:rPr>
                <w:rFonts w:ascii="Times New Roman" w:eastAsia="Times New Roman" w:hAnsi="Times New Roman"/>
                <w:b/>
                <w:noProof/>
                <w:sz w:val="24"/>
                <w:szCs w:val="24"/>
                <w:lang w:val="ro-RO"/>
              </w:rPr>
              <w:t>prezentului act</w:t>
            </w:r>
            <w:r w:rsidRPr="00441706">
              <w:rPr>
                <w:rFonts w:ascii="Times New Roman" w:eastAsia="Times New Roman" w:hAnsi="Times New Roman"/>
                <w:b/>
                <w:noProof/>
                <w:sz w:val="24"/>
                <w:szCs w:val="24"/>
                <w:lang w:val="ro-RO"/>
              </w:rPr>
              <w:t xml:space="preserve"> normativ asupra legislaţiei în vigoare</w:t>
            </w:r>
          </w:p>
          <w:p w14:paraId="656128FB" w14:textId="77777777" w:rsidR="001C1D92" w:rsidRPr="00441706" w:rsidRDefault="001C1D92" w:rsidP="001C56CE">
            <w:pPr>
              <w:spacing w:after="0" w:line="240" w:lineRule="auto"/>
              <w:jc w:val="both"/>
              <w:rPr>
                <w:rFonts w:ascii="Times New Roman" w:eastAsia="Times New Roman" w:hAnsi="Times New Roman"/>
                <w:b/>
                <w:noProof/>
                <w:sz w:val="24"/>
                <w:szCs w:val="24"/>
                <w:lang w:val="ro-RO"/>
              </w:rPr>
            </w:pPr>
          </w:p>
        </w:tc>
      </w:tr>
      <w:tr w:rsidR="001C1D92" w:rsidRPr="00441706" w14:paraId="20DA0A92" w14:textId="77777777" w:rsidTr="004D26F0">
        <w:tc>
          <w:tcPr>
            <w:tcW w:w="1697" w:type="pct"/>
            <w:gridSpan w:val="2"/>
            <w:vAlign w:val="center"/>
          </w:tcPr>
          <w:p w14:paraId="265055AE" w14:textId="77777777" w:rsidR="001C1D92" w:rsidRPr="00441706" w:rsidRDefault="001C1D92"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iCs/>
                <w:noProof/>
                <w:sz w:val="24"/>
                <w:szCs w:val="24"/>
                <w:lang w:val="ro-RO"/>
              </w:rPr>
              <w:t xml:space="preserve">  </w:t>
            </w:r>
            <w:r w:rsidR="00BE7A9F" w:rsidRPr="00441706">
              <w:rPr>
                <w:rFonts w:ascii="Times New Roman" w:eastAsia="Times New Roman" w:hAnsi="Times New Roman"/>
                <w:iCs/>
                <w:noProof/>
                <w:sz w:val="24"/>
                <w:szCs w:val="24"/>
                <w:lang w:val="ro-RO"/>
              </w:rPr>
              <w:t>5.</w:t>
            </w:r>
            <w:r w:rsidRPr="00441706">
              <w:rPr>
                <w:rFonts w:ascii="Times New Roman" w:eastAsia="Times New Roman" w:hAnsi="Times New Roman"/>
                <w:iCs/>
                <w:noProof/>
                <w:sz w:val="24"/>
                <w:szCs w:val="24"/>
                <w:lang w:val="ro-RO"/>
              </w:rPr>
              <w:t xml:space="preserve">1.  Măsuri normative necesare pentru aplicarea </w:t>
            </w:r>
            <w:r w:rsidR="00BE7A9F" w:rsidRPr="00441706">
              <w:rPr>
                <w:rFonts w:ascii="Times New Roman" w:eastAsia="Times New Roman" w:hAnsi="Times New Roman"/>
                <w:iCs/>
                <w:noProof/>
                <w:sz w:val="24"/>
                <w:szCs w:val="24"/>
                <w:lang w:val="ro-RO"/>
              </w:rPr>
              <w:t xml:space="preserve">prevederilor prezentului </w:t>
            </w:r>
            <w:r w:rsidRPr="00441706">
              <w:rPr>
                <w:rFonts w:ascii="Times New Roman" w:eastAsia="Times New Roman" w:hAnsi="Times New Roman"/>
                <w:iCs/>
                <w:noProof/>
                <w:sz w:val="24"/>
                <w:szCs w:val="24"/>
                <w:lang w:val="ro-RO"/>
              </w:rPr>
              <w:t>act normativ</w:t>
            </w:r>
            <w:r w:rsidR="00BE7A9F" w:rsidRPr="00441706">
              <w:rPr>
                <w:rFonts w:ascii="Times New Roman" w:eastAsia="Times New Roman" w:hAnsi="Times New Roman"/>
                <w:iCs/>
                <w:noProof/>
                <w:sz w:val="24"/>
                <w:szCs w:val="24"/>
                <w:lang w:val="ro-RO"/>
              </w:rPr>
              <w:t>:</w:t>
            </w:r>
          </w:p>
          <w:p w14:paraId="72F3C235" w14:textId="48B71E15" w:rsidR="001C1D92" w:rsidRPr="00441706" w:rsidRDefault="001C1D92"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iCs/>
                <w:noProof/>
                <w:sz w:val="24"/>
                <w:szCs w:val="24"/>
                <w:lang w:val="ro-RO"/>
              </w:rPr>
              <w:t>a) acte normative în</w:t>
            </w:r>
            <w:r w:rsidR="0018364C" w:rsidRPr="00441706">
              <w:rPr>
                <w:rFonts w:ascii="Times New Roman" w:eastAsia="Times New Roman" w:hAnsi="Times New Roman"/>
                <w:iCs/>
                <w:noProof/>
                <w:sz w:val="24"/>
                <w:szCs w:val="24"/>
                <w:lang w:val="ro-RO"/>
              </w:rPr>
              <w:t xml:space="preserve"> </w:t>
            </w:r>
            <w:r w:rsidRPr="00441706">
              <w:rPr>
                <w:rFonts w:ascii="Times New Roman" w:eastAsia="Times New Roman" w:hAnsi="Times New Roman"/>
                <w:iCs/>
                <w:noProof/>
                <w:sz w:val="24"/>
                <w:szCs w:val="24"/>
                <w:lang w:val="ro-RO"/>
              </w:rPr>
              <w:t>vigoare ce</w:t>
            </w:r>
            <w:r w:rsidR="0018364C" w:rsidRPr="00441706">
              <w:rPr>
                <w:rFonts w:ascii="Times New Roman" w:eastAsia="Times New Roman" w:hAnsi="Times New Roman"/>
                <w:iCs/>
                <w:noProof/>
                <w:sz w:val="24"/>
                <w:szCs w:val="24"/>
                <w:lang w:val="ro-RO"/>
              </w:rPr>
              <w:t xml:space="preserve"> v</w:t>
            </w:r>
            <w:r w:rsidRPr="00441706">
              <w:rPr>
                <w:rFonts w:ascii="Times New Roman" w:eastAsia="Times New Roman" w:hAnsi="Times New Roman"/>
                <w:iCs/>
                <w:noProof/>
                <w:sz w:val="24"/>
                <w:szCs w:val="24"/>
                <w:lang w:val="ro-RO"/>
              </w:rPr>
              <w:t xml:space="preserve">or  fi modificate sau abrogate, ca   urmare a intrării în vigoare a   proiectului de act normativ;     </w:t>
            </w:r>
          </w:p>
          <w:p w14:paraId="0C6E6ED5" w14:textId="77777777" w:rsidR="001C1D92" w:rsidRPr="00441706" w:rsidRDefault="001C1D92"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iCs/>
                <w:noProof/>
                <w:sz w:val="24"/>
                <w:szCs w:val="24"/>
                <w:lang w:val="ro-RO"/>
              </w:rPr>
              <w:t xml:space="preserve">b) acte normative ce urmează a fi elaborate învederea implementării noilor dispoziţii.  </w:t>
            </w:r>
          </w:p>
        </w:tc>
        <w:tc>
          <w:tcPr>
            <w:tcW w:w="3303" w:type="pct"/>
            <w:gridSpan w:val="6"/>
            <w:vAlign w:val="center"/>
          </w:tcPr>
          <w:p w14:paraId="039E935C"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p>
          <w:p w14:paraId="7587E9D0"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p>
          <w:p w14:paraId="7A21D602"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p>
          <w:p w14:paraId="7F1BF7E5" w14:textId="77777777" w:rsidR="001C1D92" w:rsidRPr="00441706" w:rsidRDefault="00BE7A9F" w:rsidP="001C56CE">
            <w:pPr>
              <w:autoSpaceDE w:val="0"/>
              <w:autoSpaceDN w:val="0"/>
              <w:adjustRightInd w:val="0"/>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noProof/>
                <w:sz w:val="24"/>
                <w:szCs w:val="24"/>
                <w:lang w:val="ro-RO"/>
              </w:rPr>
              <w:t>Prezentul act normativ nu se referă la acest subiect</w:t>
            </w:r>
            <w:r w:rsidRPr="00441706">
              <w:rPr>
                <w:rFonts w:ascii="Times New Roman" w:eastAsia="Times New Roman" w:hAnsi="Times New Roman"/>
                <w:iCs/>
                <w:noProof/>
                <w:sz w:val="24"/>
                <w:szCs w:val="24"/>
                <w:lang w:val="ro-RO"/>
              </w:rPr>
              <w:t xml:space="preserve"> </w:t>
            </w:r>
          </w:p>
          <w:p w14:paraId="6F01FF0E" w14:textId="77777777" w:rsidR="001C1D92" w:rsidRPr="00441706" w:rsidRDefault="001C1D92" w:rsidP="001C56CE">
            <w:pPr>
              <w:autoSpaceDE w:val="0"/>
              <w:autoSpaceDN w:val="0"/>
              <w:adjustRightInd w:val="0"/>
              <w:spacing w:after="0" w:line="240" w:lineRule="auto"/>
              <w:ind w:left="720"/>
              <w:jc w:val="both"/>
              <w:rPr>
                <w:rFonts w:ascii="Times New Roman" w:eastAsia="Times New Roman" w:hAnsi="Times New Roman"/>
                <w:iCs/>
                <w:noProof/>
                <w:sz w:val="24"/>
                <w:szCs w:val="24"/>
                <w:lang w:val="ro-RO"/>
              </w:rPr>
            </w:pPr>
          </w:p>
          <w:p w14:paraId="3AA2A775" w14:textId="77777777" w:rsidR="001C1D92" w:rsidRPr="00441706" w:rsidRDefault="001C1D92" w:rsidP="001C56CE">
            <w:pPr>
              <w:autoSpaceDE w:val="0"/>
              <w:autoSpaceDN w:val="0"/>
              <w:adjustRightInd w:val="0"/>
              <w:spacing w:after="0" w:line="240" w:lineRule="auto"/>
              <w:ind w:left="720"/>
              <w:jc w:val="both"/>
              <w:rPr>
                <w:rFonts w:ascii="Times New Roman" w:eastAsia="Times New Roman" w:hAnsi="Times New Roman"/>
                <w:iCs/>
                <w:noProof/>
                <w:sz w:val="24"/>
                <w:szCs w:val="24"/>
                <w:lang w:val="ro-RO"/>
              </w:rPr>
            </w:pPr>
          </w:p>
          <w:p w14:paraId="0CFF1896" w14:textId="77777777" w:rsidR="001C1D92" w:rsidRPr="00441706" w:rsidRDefault="001C1D92" w:rsidP="001C56CE">
            <w:pPr>
              <w:autoSpaceDE w:val="0"/>
              <w:autoSpaceDN w:val="0"/>
              <w:adjustRightInd w:val="0"/>
              <w:spacing w:after="0" w:line="240" w:lineRule="auto"/>
              <w:ind w:left="720"/>
              <w:jc w:val="both"/>
              <w:rPr>
                <w:rFonts w:ascii="Times New Roman" w:eastAsia="Times New Roman" w:hAnsi="Times New Roman"/>
                <w:iCs/>
                <w:noProof/>
                <w:sz w:val="24"/>
                <w:szCs w:val="24"/>
                <w:lang w:val="ro-RO"/>
              </w:rPr>
            </w:pPr>
          </w:p>
          <w:p w14:paraId="315EE73E"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iCs/>
                <w:noProof/>
                <w:sz w:val="24"/>
                <w:szCs w:val="24"/>
                <w:lang w:val="ro-RO"/>
              </w:rPr>
            </w:pPr>
          </w:p>
        </w:tc>
      </w:tr>
      <w:tr w:rsidR="001C1D92" w:rsidRPr="00441706" w14:paraId="09032371" w14:textId="77777777" w:rsidTr="004D26F0">
        <w:tc>
          <w:tcPr>
            <w:tcW w:w="1697" w:type="pct"/>
            <w:gridSpan w:val="2"/>
            <w:vAlign w:val="center"/>
          </w:tcPr>
          <w:p w14:paraId="67D43CBB" w14:textId="3409FA39" w:rsidR="001C1D92" w:rsidRPr="00441706" w:rsidRDefault="00BE7A9F"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noProof/>
                <w:sz w:val="24"/>
                <w:szCs w:val="24"/>
                <w:lang w:val="ro-RO"/>
              </w:rPr>
              <w:t>5.</w:t>
            </w:r>
            <w:r w:rsidR="001C1D92" w:rsidRPr="00441706">
              <w:rPr>
                <w:rFonts w:ascii="Times New Roman" w:eastAsia="Times New Roman" w:hAnsi="Times New Roman"/>
                <w:noProof/>
                <w:sz w:val="24"/>
                <w:szCs w:val="24"/>
                <w:lang w:val="ro-RO"/>
              </w:rPr>
              <w:t>2</w:t>
            </w:r>
            <w:r w:rsidR="001C1D92" w:rsidRPr="00441706">
              <w:rPr>
                <w:rFonts w:ascii="Times New Roman" w:eastAsia="Times New Roman" w:hAnsi="Times New Roman"/>
                <w:i/>
                <w:iCs/>
                <w:noProof/>
                <w:sz w:val="24"/>
                <w:szCs w:val="24"/>
                <w:lang w:val="ro-RO"/>
              </w:rPr>
              <w:t xml:space="preserve">. </w:t>
            </w:r>
            <w:r w:rsidR="001C1D92" w:rsidRPr="00441706">
              <w:rPr>
                <w:rFonts w:ascii="Times New Roman" w:eastAsia="Times New Roman" w:hAnsi="Times New Roman"/>
                <w:iCs/>
                <w:noProof/>
                <w:sz w:val="24"/>
                <w:szCs w:val="24"/>
                <w:lang w:val="ro-RO"/>
              </w:rPr>
              <w:t>Conformitatea proiectului de act normativ cu legislaţia comunitară în cazul</w:t>
            </w:r>
            <w:r w:rsidR="0018364C" w:rsidRPr="00441706">
              <w:rPr>
                <w:rFonts w:ascii="Times New Roman" w:eastAsia="Times New Roman" w:hAnsi="Times New Roman"/>
                <w:iCs/>
                <w:noProof/>
                <w:sz w:val="24"/>
                <w:szCs w:val="24"/>
                <w:lang w:val="ro-RO"/>
              </w:rPr>
              <w:t xml:space="preserve"> </w:t>
            </w:r>
            <w:r w:rsidR="001C1D92" w:rsidRPr="00441706">
              <w:rPr>
                <w:rFonts w:ascii="Times New Roman" w:eastAsia="Times New Roman" w:hAnsi="Times New Roman"/>
                <w:iCs/>
                <w:noProof/>
                <w:sz w:val="24"/>
                <w:szCs w:val="24"/>
                <w:lang w:val="ro-RO"/>
              </w:rPr>
              <w:t>proiectelor ce transpun prevederi comunitare</w:t>
            </w:r>
          </w:p>
        </w:tc>
        <w:tc>
          <w:tcPr>
            <w:tcW w:w="3303" w:type="pct"/>
            <w:gridSpan w:val="6"/>
            <w:vAlign w:val="center"/>
          </w:tcPr>
          <w:p w14:paraId="542ACCE4" w14:textId="77777777" w:rsidR="001C1D92" w:rsidRPr="00441706" w:rsidRDefault="00BE7A9F"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C1D92" w:rsidRPr="00441706" w14:paraId="5FBB0E71" w14:textId="77777777" w:rsidTr="004D26F0">
        <w:tc>
          <w:tcPr>
            <w:tcW w:w="1697" w:type="pct"/>
            <w:gridSpan w:val="2"/>
            <w:vAlign w:val="center"/>
          </w:tcPr>
          <w:p w14:paraId="58736D02"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iCs/>
                <w:noProof/>
                <w:sz w:val="24"/>
                <w:szCs w:val="24"/>
                <w:lang w:val="ro-RO"/>
              </w:rPr>
              <w:t>5.</w:t>
            </w:r>
            <w:r w:rsidR="001C1D92" w:rsidRPr="00441706">
              <w:rPr>
                <w:rFonts w:ascii="Times New Roman" w:eastAsia="Times New Roman" w:hAnsi="Times New Roman"/>
                <w:iCs/>
                <w:noProof/>
                <w:sz w:val="24"/>
                <w:szCs w:val="24"/>
                <w:lang w:val="ro-RO"/>
              </w:rPr>
              <w:t>3.Măsuri normative necesare aplicării directe a actelor normative comunitare</w:t>
            </w:r>
          </w:p>
        </w:tc>
        <w:tc>
          <w:tcPr>
            <w:tcW w:w="3303" w:type="pct"/>
            <w:gridSpan w:val="6"/>
            <w:vAlign w:val="center"/>
          </w:tcPr>
          <w:p w14:paraId="5F29C017"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C1D92" w:rsidRPr="00441706" w14:paraId="200A9E97" w14:textId="77777777" w:rsidTr="004D26F0">
        <w:tc>
          <w:tcPr>
            <w:tcW w:w="1697" w:type="pct"/>
            <w:gridSpan w:val="2"/>
            <w:vAlign w:val="center"/>
          </w:tcPr>
          <w:p w14:paraId="2625E7F5" w14:textId="77777777" w:rsidR="001C1D92" w:rsidRPr="00441706" w:rsidRDefault="00BE7A9F"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noProof/>
                <w:sz w:val="24"/>
                <w:szCs w:val="24"/>
                <w:lang w:val="ro-RO"/>
              </w:rPr>
              <w:t>5.</w:t>
            </w:r>
            <w:r w:rsidR="001C1D92" w:rsidRPr="00441706">
              <w:rPr>
                <w:rFonts w:ascii="Times New Roman" w:eastAsia="Times New Roman" w:hAnsi="Times New Roman"/>
                <w:noProof/>
                <w:sz w:val="24"/>
                <w:szCs w:val="24"/>
                <w:lang w:val="ro-RO"/>
              </w:rPr>
              <w:t xml:space="preserve">4. </w:t>
            </w:r>
            <w:r w:rsidR="001C1D92" w:rsidRPr="00441706">
              <w:rPr>
                <w:rFonts w:ascii="Times New Roman" w:eastAsia="Times New Roman" w:hAnsi="Times New Roman"/>
                <w:iCs/>
                <w:noProof/>
                <w:sz w:val="24"/>
                <w:szCs w:val="24"/>
                <w:lang w:val="ro-RO"/>
              </w:rPr>
              <w:t>Hotărâri ale Curţii de Justiţie a Uniunii Europene</w:t>
            </w:r>
          </w:p>
          <w:p w14:paraId="174072DB"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tc>
        <w:tc>
          <w:tcPr>
            <w:tcW w:w="3303" w:type="pct"/>
            <w:gridSpan w:val="6"/>
            <w:vAlign w:val="center"/>
          </w:tcPr>
          <w:p w14:paraId="1E82EEA9"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C1D92" w:rsidRPr="00441706" w14:paraId="7D18EF59" w14:textId="77777777" w:rsidTr="004D26F0">
        <w:tc>
          <w:tcPr>
            <w:tcW w:w="1697" w:type="pct"/>
            <w:gridSpan w:val="2"/>
            <w:vAlign w:val="center"/>
          </w:tcPr>
          <w:p w14:paraId="5272CE7C" w14:textId="77777777" w:rsidR="001C1D92" w:rsidRPr="00441706" w:rsidRDefault="001C1D92" w:rsidP="001C56CE">
            <w:pPr>
              <w:spacing w:after="0" w:line="240" w:lineRule="auto"/>
              <w:jc w:val="both"/>
              <w:rPr>
                <w:rFonts w:ascii="Times New Roman" w:eastAsia="Times New Roman" w:hAnsi="Times New Roman"/>
                <w:iCs/>
                <w:noProof/>
                <w:sz w:val="24"/>
                <w:szCs w:val="24"/>
                <w:lang w:val="ro-RO"/>
              </w:rPr>
            </w:pPr>
            <w:r w:rsidRPr="00441706">
              <w:rPr>
                <w:rFonts w:ascii="Times New Roman" w:eastAsia="Times New Roman" w:hAnsi="Times New Roman"/>
                <w:noProof/>
                <w:sz w:val="24"/>
                <w:szCs w:val="24"/>
                <w:lang w:val="ro-RO"/>
              </w:rPr>
              <w:t>5.</w:t>
            </w:r>
            <w:r w:rsidR="00BE7A9F" w:rsidRPr="00441706">
              <w:rPr>
                <w:rFonts w:ascii="Times New Roman" w:eastAsia="Times New Roman" w:hAnsi="Times New Roman"/>
                <w:noProof/>
                <w:sz w:val="24"/>
                <w:szCs w:val="24"/>
                <w:lang w:val="ro-RO"/>
              </w:rPr>
              <w:t>5.</w:t>
            </w:r>
            <w:r w:rsidRPr="00441706">
              <w:rPr>
                <w:rFonts w:ascii="Times New Roman" w:eastAsia="Times New Roman" w:hAnsi="Times New Roman"/>
                <w:noProof/>
                <w:sz w:val="24"/>
                <w:szCs w:val="24"/>
                <w:lang w:val="ro-RO"/>
              </w:rPr>
              <w:t xml:space="preserve"> </w:t>
            </w:r>
            <w:r w:rsidRPr="00441706">
              <w:rPr>
                <w:rFonts w:ascii="Times New Roman" w:eastAsia="Times New Roman" w:hAnsi="Times New Roman"/>
                <w:iCs/>
                <w:noProof/>
                <w:sz w:val="24"/>
                <w:szCs w:val="24"/>
                <w:lang w:val="ro-RO"/>
              </w:rPr>
              <w:t>Alte acte normative şi/sau documente internaţionale din care decurg angajamente</w:t>
            </w:r>
          </w:p>
          <w:p w14:paraId="19685DC4" w14:textId="77777777" w:rsidR="004D26F0" w:rsidRPr="00441706" w:rsidRDefault="004D26F0" w:rsidP="001C56CE">
            <w:pPr>
              <w:spacing w:after="0" w:line="240" w:lineRule="auto"/>
              <w:jc w:val="both"/>
              <w:rPr>
                <w:rFonts w:ascii="Times New Roman" w:eastAsia="Times New Roman" w:hAnsi="Times New Roman"/>
                <w:iCs/>
                <w:noProof/>
                <w:sz w:val="24"/>
                <w:szCs w:val="24"/>
                <w:lang w:val="ro-RO"/>
              </w:rPr>
            </w:pPr>
          </w:p>
          <w:p w14:paraId="53E1DF33"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tc>
        <w:tc>
          <w:tcPr>
            <w:tcW w:w="3303" w:type="pct"/>
            <w:gridSpan w:val="6"/>
            <w:vAlign w:val="center"/>
          </w:tcPr>
          <w:p w14:paraId="1B3C8DCF"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C1D92" w:rsidRPr="00441706" w14:paraId="5F6F109A" w14:textId="77777777" w:rsidTr="004D26F0">
        <w:trPr>
          <w:trHeight w:val="290"/>
        </w:trPr>
        <w:tc>
          <w:tcPr>
            <w:tcW w:w="1697" w:type="pct"/>
            <w:gridSpan w:val="2"/>
            <w:vAlign w:val="center"/>
          </w:tcPr>
          <w:p w14:paraId="40A32F87"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5.</w:t>
            </w:r>
            <w:r w:rsidR="001C1D92" w:rsidRPr="00441706">
              <w:rPr>
                <w:rFonts w:ascii="Times New Roman" w:eastAsia="Times New Roman" w:hAnsi="Times New Roman"/>
                <w:noProof/>
                <w:sz w:val="24"/>
                <w:szCs w:val="24"/>
                <w:lang w:val="ro-RO"/>
              </w:rPr>
              <w:t xml:space="preserve">6. Alte informaţii           </w:t>
            </w:r>
          </w:p>
          <w:p w14:paraId="4F63342B"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p w14:paraId="2BD54591"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p w14:paraId="2FDA8D64"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p w14:paraId="6E6EF444"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p w14:paraId="319DC4B9"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tc>
        <w:tc>
          <w:tcPr>
            <w:tcW w:w="3303" w:type="pct"/>
            <w:gridSpan w:val="6"/>
            <w:vAlign w:val="center"/>
          </w:tcPr>
          <w:p w14:paraId="0C90B5F7"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lastRenderedPageBreak/>
              <w:t>Măsurile propuse nu presupun modificări ale veniturilor bugetare</w:t>
            </w:r>
          </w:p>
          <w:p w14:paraId="26A18685"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p w14:paraId="1DB2623A" w14:textId="77777777" w:rsidR="004D26F0" w:rsidRPr="00441706" w:rsidRDefault="004D26F0" w:rsidP="001C56CE">
            <w:pPr>
              <w:spacing w:after="0" w:line="240" w:lineRule="auto"/>
              <w:jc w:val="both"/>
              <w:rPr>
                <w:rFonts w:ascii="Times New Roman" w:eastAsia="Times New Roman" w:hAnsi="Times New Roman"/>
                <w:noProof/>
                <w:sz w:val="24"/>
                <w:szCs w:val="24"/>
                <w:lang w:val="ro-RO"/>
              </w:rPr>
            </w:pPr>
          </w:p>
        </w:tc>
      </w:tr>
      <w:tr w:rsidR="001C1D92" w:rsidRPr="00441706" w14:paraId="71796910" w14:textId="77777777" w:rsidTr="00BE7A9F">
        <w:tc>
          <w:tcPr>
            <w:tcW w:w="5000" w:type="pct"/>
            <w:gridSpan w:val="8"/>
            <w:vAlign w:val="center"/>
          </w:tcPr>
          <w:p w14:paraId="42DCD35D"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p>
          <w:p w14:paraId="2CA57472"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6-a</w:t>
            </w:r>
          </w:p>
          <w:p w14:paraId="62711533"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Consultările efectuate în vederea elaborării actului normativ</w:t>
            </w:r>
          </w:p>
          <w:p w14:paraId="274732ED" w14:textId="77777777" w:rsidR="001C1D92" w:rsidRPr="00441706" w:rsidRDefault="001C1D92" w:rsidP="001C56CE">
            <w:pPr>
              <w:spacing w:after="0" w:line="240" w:lineRule="auto"/>
              <w:jc w:val="both"/>
              <w:rPr>
                <w:rFonts w:ascii="Times New Roman" w:eastAsia="Times New Roman" w:hAnsi="Times New Roman"/>
                <w:b/>
                <w:noProof/>
                <w:sz w:val="24"/>
                <w:szCs w:val="24"/>
                <w:lang w:val="ro-RO"/>
              </w:rPr>
            </w:pPr>
          </w:p>
        </w:tc>
      </w:tr>
      <w:tr w:rsidR="001C1D92" w:rsidRPr="00441706" w14:paraId="7BC50F7C" w14:textId="77777777" w:rsidTr="004D26F0">
        <w:tc>
          <w:tcPr>
            <w:tcW w:w="1697" w:type="pct"/>
            <w:gridSpan w:val="2"/>
            <w:vAlign w:val="center"/>
          </w:tcPr>
          <w:p w14:paraId="59C08924"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 xml:space="preserve">1. Informaţii privind procesul de consultare cu organizaţii neguvernamentale, institute de cercetare şi alte organisme implicate                   </w:t>
            </w:r>
          </w:p>
        </w:tc>
        <w:tc>
          <w:tcPr>
            <w:tcW w:w="3303" w:type="pct"/>
            <w:gridSpan w:val="6"/>
            <w:vAlign w:val="center"/>
          </w:tcPr>
          <w:p w14:paraId="4A5A0D82"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56B39DA8" w14:textId="77777777" w:rsidTr="004D26F0">
        <w:tc>
          <w:tcPr>
            <w:tcW w:w="1697" w:type="pct"/>
            <w:gridSpan w:val="2"/>
            <w:vAlign w:val="center"/>
          </w:tcPr>
          <w:p w14:paraId="51F01164"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 xml:space="preserve">2. Fundamentarea alegerii organizaţiilor cu care a avut loc consultarea, precum şi a modului în care activitatea acestor organizaţii este legată de obiectul actului normativ       </w:t>
            </w:r>
          </w:p>
        </w:tc>
        <w:tc>
          <w:tcPr>
            <w:tcW w:w="3303" w:type="pct"/>
            <w:gridSpan w:val="6"/>
            <w:vAlign w:val="center"/>
          </w:tcPr>
          <w:p w14:paraId="01D80139"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64F1CA81" w14:textId="77777777" w:rsidTr="004D26F0">
        <w:tc>
          <w:tcPr>
            <w:tcW w:w="1697" w:type="pct"/>
            <w:gridSpan w:val="2"/>
            <w:vAlign w:val="center"/>
          </w:tcPr>
          <w:p w14:paraId="43B4077B"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 xml:space="preserve">3. Consultările organizate cu autorităţile administraţiei publice locale, în situaţia în care actul normativ are ca obiect activităţi ale acestor autorităţi, în condiţiile Hotărârii Guvernului nr. 521/2005 privind procedura de consultare a structurilor asociative ale autorităţilor administraţiei publice locale la elaborarea proiectelor de acte normative </w:t>
            </w:r>
          </w:p>
        </w:tc>
        <w:tc>
          <w:tcPr>
            <w:tcW w:w="3303" w:type="pct"/>
            <w:gridSpan w:val="6"/>
            <w:vAlign w:val="center"/>
          </w:tcPr>
          <w:p w14:paraId="6C8FD52B"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756D6B36" w14:textId="77777777" w:rsidTr="004D26F0">
        <w:tc>
          <w:tcPr>
            <w:tcW w:w="1697" w:type="pct"/>
            <w:gridSpan w:val="2"/>
            <w:vAlign w:val="center"/>
          </w:tcPr>
          <w:p w14:paraId="2AF2A8AE"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4. Consultările desfăşurate în cadrul consiliilor interministeriale, în conformitate cu prevederile Hotărârii Guvernului nr. 750/2005 privind constituirea consiliilor interministeriale permanent</w:t>
            </w:r>
          </w:p>
        </w:tc>
        <w:tc>
          <w:tcPr>
            <w:tcW w:w="3303" w:type="pct"/>
            <w:gridSpan w:val="6"/>
            <w:vAlign w:val="center"/>
          </w:tcPr>
          <w:p w14:paraId="3A3DF1AE"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nu se referă la acest subiect</w:t>
            </w:r>
          </w:p>
        </w:tc>
      </w:tr>
      <w:tr w:rsidR="001C1D92" w:rsidRPr="00441706" w14:paraId="436D08E9" w14:textId="77777777" w:rsidTr="004D26F0">
        <w:tc>
          <w:tcPr>
            <w:tcW w:w="1697" w:type="pct"/>
            <w:gridSpan w:val="2"/>
            <w:vAlign w:val="center"/>
          </w:tcPr>
          <w:p w14:paraId="01B6F001" w14:textId="77777777" w:rsidR="001C1D92" w:rsidRPr="00441706" w:rsidRDefault="00BE7A9F"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5. Informaţii privind avizarea de către:</w:t>
            </w:r>
          </w:p>
          <w:p w14:paraId="622213BA"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 Consiliul Legislativ</w:t>
            </w:r>
          </w:p>
          <w:p w14:paraId="505BBDB5"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b) Consiliul Suprem de Apărare a Ţării</w:t>
            </w:r>
          </w:p>
          <w:p w14:paraId="6A89B240"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c) Consiliul Economic şi Social</w:t>
            </w:r>
          </w:p>
          <w:p w14:paraId="3F8837DD"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d) Consiliul Concurenţei</w:t>
            </w:r>
          </w:p>
          <w:p w14:paraId="67D3E15D"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 xml:space="preserve">e) Curtea de Conturi   </w:t>
            </w:r>
          </w:p>
        </w:tc>
        <w:tc>
          <w:tcPr>
            <w:tcW w:w="3303" w:type="pct"/>
            <w:gridSpan w:val="6"/>
            <w:vAlign w:val="center"/>
          </w:tcPr>
          <w:p w14:paraId="4679A2F2"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7C3398CD" w14:textId="77777777" w:rsidTr="004D26F0">
        <w:tc>
          <w:tcPr>
            <w:tcW w:w="1697" w:type="pct"/>
            <w:gridSpan w:val="2"/>
            <w:vAlign w:val="center"/>
          </w:tcPr>
          <w:p w14:paraId="48FBBB2B"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6.</w:t>
            </w:r>
            <w:r w:rsidR="001C1D92" w:rsidRPr="00441706">
              <w:rPr>
                <w:rFonts w:ascii="Times New Roman" w:eastAsia="Times New Roman" w:hAnsi="Times New Roman"/>
                <w:noProof/>
                <w:sz w:val="24"/>
                <w:szCs w:val="24"/>
                <w:lang w:val="ro-RO"/>
              </w:rPr>
              <w:t xml:space="preserve">6. Alte informaţii    </w:t>
            </w:r>
          </w:p>
        </w:tc>
        <w:tc>
          <w:tcPr>
            <w:tcW w:w="3303" w:type="pct"/>
            <w:gridSpan w:val="6"/>
            <w:vAlign w:val="center"/>
          </w:tcPr>
          <w:p w14:paraId="7C48495E"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1F1DE910" w14:textId="77777777" w:rsidTr="00BE7A9F">
        <w:tc>
          <w:tcPr>
            <w:tcW w:w="5000" w:type="pct"/>
            <w:gridSpan w:val="8"/>
            <w:vAlign w:val="center"/>
          </w:tcPr>
          <w:p w14:paraId="6279E1D6" w14:textId="77777777" w:rsidR="001C1D92" w:rsidRPr="00441706" w:rsidRDefault="001C1D92" w:rsidP="001C56CE">
            <w:pPr>
              <w:autoSpaceDE w:val="0"/>
              <w:autoSpaceDN w:val="0"/>
              <w:adjustRightInd w:val="0"/>
              <w:spacing w:after="0" w:line="240" w:lineRule="auto"/>
              <w:rPr>
                <w:rFonts w:ascii="Times New Roman" w:eastAsia="Times New Roman" w:hAnsi="Times New Roman"/>
                <w:b/>
                <w:noProof/>
                <w:sz w:val="24"/>
                <w:szCs w:val="24"/>
                <w:lang w:val="ro-RO"/>
              </w:rPr>
            </w:pPr>
          </w:p>
          <w:p w14:paraId="78D9C833" w14:textId="77777777" w:rsidR="001C1D92" w:rsidRPr="00441706" w:rsidRDefault="001C1D92"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7-a</w:t>
            </w:r>
          </w:p>
          <w:p w14:paraId="55E23739" w14:textId="77777777" w:rsidR="004D26F0" w:rsidRPr="00441706" w:rsidRDefault="001C1D92"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 xml:space="preserve">Activităţi de informare publică privind elaborarea </w:t>
            </w:r>
          </w:p>
          <w:p w14:paraId="626D78B8" w14:textId="77777777" w:rsidR="001C1D92" w:rsidRPr="00441706" w:rsidRDefault="001C1D92" w:rsidP="001C56CE">
            <w:pPr>
              <w:autoSpaceDE w:val="0"/>
              <w:autoSpaceDN w:val="0"/>
              <w:adjustRightInd w:val="0"/>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şi implementarea actului normativ</w:t>
            </w:r>
          </w:p>
          <w:p w14:paraId="1CBD2415" w14:textId="77777777" w:rsidR="001C1D92" w:rsidRPr="00441706" w:rsidRDefault="001C1D92" w:rsidP="001C56CE">
            <w:pPr>
              <w:autoSpaceDE w:val="0"/>
              <w:autoSpaceDN w:val="0"/>
              <w:adjustRightInd w:val="0"/>
              <w:spacing w:after="0" w:line="240" w:lineRule="auto"/>
              <w:jc w:val="both"/>
              <w:rPr>
                <w:rFonts w:ascii="Times New Roman" w:eastAsia="Times New Roman" w:hAnsi="Times New Roman"/>
                <w:b/>
                <w:noProof/>
                <w:sz w:val="24"/>
                <w:szCs w:val="24"/>
                <w:lang w:val="ro-RO"/>
              </w:rPr>
            </w:pPr>
          </w:p>
        </w:tc>
      </w:tr>
      <w:tr w:rsidR="001C1D92" w:rsidRPr="00441706" w14:paraId="651B50D0" w14:textId="77777777" w:rsidTr="004D26F0">
        <w:tc>
          <w:tcPr>
            <w:tcW w:w="1697" w:type="pct"/>
            <w:gridSpan w:val="2"/>
            <w:vAlign w:val="center"/>
          </w:tcPr>
          <w:p w14:paraId="5982BD76"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lastRenderedPageBreak/>
              <w:t>7.</w:t>
            </w:r>
            <w:r w:rsidR="001C1D92" w:rsidRPr="00441706">
              <w:rPr>
                <w:rFonts w:ascii="Times New Roman" w:eastAsia="Times New Roman" w:hAnsi="Times New Roman"/>
                <w:noProof/>
                <w:sz w:val="24"/>
                <w:szCs w:val="24"/>
                <w:lang w:val="ro-RO"/>
              </w:rPr>
              <w:t xml:space="preserve">1.Informarea societăţii civile cu privire la necesitatea elaborării actului normativ </w:t>
            </w:r>
          </w:p>
          <w:p w14:paraId="07AB4FFB" w14:textId="77777777" w:rsidR="001C1D92" w:rsidRPr="00441706" w:rsidRDefault="001C1D92" w:rsidP="001C56CE">
            <w:pPr>
              <w:spacing w:after="0" w:line="240" w:lineRule="auto"/>
              <w:ind w:left="360"/>
              <w:jc w:val="both"/>
              <w:rPr>
                <w:rFonts w:ascii="Times New Roman" w:eastAsia="Times New Roman" w:hAnsi="Times New Roman"/>
                <w:noProof/>
                <w:sz w:val="24"/>
                <w:szCs w:val="24"/>
                <w:lang w:val="ro-RO"/>
              </w:rPr>
            </w:pPr>
          </w:p>
        </w:tc>
        <w:tc>
          <w:tcPr>
            <w:tcW w:w="3303" w:type="pct"/>
            <w:gridSpan w:val="6"/>
            <w:vAlign w:val="center"/>
          </w:tcPr>
          <w:p w14:paraId="52280A2D"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Prezentul act normativ se încadrează în dispozițiile art. 7 alin.(13) din Legea nr. 52/2003 privind transparența decizională în administrația publică.</w:t>
            </w:r>
          </w:p>
        </w:tc>
      </w:tr>
      <w:tr w:rsidR="001C1D92" w:rsidRPr="00441706" w14:paraId="2EC17BC6" w14:textId="77777777" w:rsidTr="004D26F0">
        <w:tc>
          <w:tcPr>
            <w:tcW w:w="1697" w:type="pct"/>
            <w:gridSpan w:val="2"/>
            <w:vAlign w:val="center"/>
          </w:tcPr>
          <w:p w14:paraId="63F82E0D"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7.</w:t>
            </w:r>
            <w:r w:rsidR="001C1D92" w:rsidRPr="00441706">
              <w:rPr>
                <w:rFonts w:ascii="Times New Roman" w:eastAsia="Times New Roman" w:hAnsi="Times New Roman"/>
                <w:noProof/>
                <w:sz w:val="24"/>
                <w:szCs w:val="24"/>
                <w:lang w:val="ro-RO"/>
              </w:rPr>
              <w:t xml:space="preserve">2. Informarea societăţii civile cu privire la eventualul impact asupra mediului în urma implementării actului normativ, precum şi efectele asupra sănătăţii şi securităţii cetăţenilor sau diversităţii biologice        </w:t>
            </w:r>
          </w:p>
        </w:tc>
        <w:tc>
          <w:tcPr>
            <w:tcW w:w="3303" w:type="pct"/>
            <w:gridSpan w:val="6"/>
            <w:vAlign w:val="center"/>
          </w:tcPr>
          <w:p w14:paraId="430B978B"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Nu este cazul</w:t>
            </w:r>
          </w:p>
        </w:tc>
      </w:tr>
      <w:tr w:rsidR="001C1D92" w:rsidRPr="00441706" w14:paraId="582D6594" w14:textId="77777777" w:rsidTr="004D26F0">
        <w:tc>
          <w:tcPr>
            <w:tcW w:w="1697" w:type="pct"/>
            <w:gridSpan w:val="2"/>
            <w:vAlign w:val="center"/>
          </w:tcPr>
          <w:p w14:paraId="4FB63152"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7.</w:t>
            </w:r>
            <w:r w:rsidR="001C1D92" w:rsidRPr="00441706">
              <w:rPr>
                <w:rFonts w:ascii="Times New Roman" w:eastAsia="Times New Roman" w:hAnsi="Times New Roman"/>
                <w:noProof/>
                <w:sz w:val="24"/>
                <w:szCs w:val="24"/>
                <w:lang w:val="ro-RO"/>
              </w:rPr>
              <w:t xml:space="preserve">3. Alte informaţii                  </w:t>
            </w:r>
          </w:p>
        </w:tc>
        <w:tc>
          <w:tcPr>
            <w:tcW w:w="3303" w:type="pct"/>
            <w:gridSpan w:val="6"/>
            <w:vAlign w:val="center"/>
          </w:tcPr>
          <w:p w14:paraId="1B8F0131"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Actul normativ nu se referă la acest subiect.</w:t>
            </w:r>
          </w:p>
        </w:tc>
      </w:tr>
      <w:tr w:rsidR="001C1D92" w:rsidRPr="00441706" w14:paraId="10DA3A1B" w14:textId="77777777" w:rsidTr="00BE7A9F">
        <w:tc>
          <w:tcPr>
            <w:tcW w:w="5000" w:type="pct"/>
            <w:gridSpan w:val="8"/>
            <w:vAlign w:val="center"/>
          </w:tcPr>
          <w:p w14:paraId="609EC21E"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p>
          <w:p w14:paraId="4589F38E" w14:textId="77777777"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Secţiunea a 8-a</w:t>
            </w:r>
          </w:p>
          <w:p w14:paraId="481CB861" w14:textId="437F1FFA" w:rsidR="001C1D92" w:rsidRPr="00441706" w:rsidRDefault="001C1D92" w:rsidP="001C56CE">
            <w:pPr>
              <w:spacing w:after="0" w:line="240" w:lineRule="auto"/>
              <w:jc w:val="center"/>
              <w:rPr>
                <w:rFonts w:ascii="Times New Roman" w:eastAsia="Times New Roman" w:hAnsi="Times New Roman"/>
                <w:b/>
                <w:noProof/>
                <w:sz w:val="24"/>
                <w:szCs w:val="24"/>
                <w:lang w:val="ro-RO"/>
              </w:rPr>
            </w:pPr>
            <w:r w:rsidRPr="00441706">
              <w:rPr>
                <w:rFonts w:ascii="Times New Roman" w:eastAsia="Times New Roman" w:hAnsi="Times New Roman"/>
                <w:b/>
                <w:noProof/>
                <w:sz w:val="24"/>
                <w:szCs w:val="24"/>
                <w:lang w:val="ro-RO"/>
              </w:rPr>
              <w:t>Măsuri de implementare</w:t>
            </w:r>
          </w:p>
        </w:tc>
      </w:tr>
      <w:tr w:rsidR="001C1D92" w:rsidRPr="00441706" w14:paraId="1F33F05B" w14:textId="77777777" w:rsidTr="004D26F0">
        <w:tc>
          <w:tcPr>
            <w:tcW w:w="1697" w:type="pct"/>
            <w:gridSpan w:val="2"/>
            <w:vAlign w:val="center"/>
          </w:tcPr>
          <w:p w14:paraId="1EF3E19F" w14:textId="77777777" w:rsidR="001C1D92" w:rsidRPr="00441706" w:rsidRDefault="00BE7A9F" w:rsidP="001C56CE">
            <w:pPr>
              <w:spacing w:after="0" w:line="240" w:lineRule="auto"/>
              <w:ind w:left="1"/>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8.</w:t>
            </w:r>
            <w:r w:rsidR="001C1D92" w:rsidRPr="00441706">
              <w:rPr>
                <w:rFonts w:ascii="Times New Roman" w:eastAsia="Times New Roman" w:hAnsi="Times New Roman"/>
                <w:noProof/>
                <w:sz w:val="24"/>
                <w:szCs w:val="24"/>
                <w:lang w:val="ro-RO"/>
              </w:rPr>
              <w:t xml:space="preserve">1. Măsurile de punere în aplicare a actului normativ de către autorităţile administraţiei publice centrale şi/sau locale - înfiinţarea unor noi organisme sau extinderea competenţelor instituţiilor existente   </w:t>
            </w:r>
          </w:p>
        </w:tc>
        <w:tc>
          <w:tcPr>
            <w:tcW w:w="3303" w:type="pct"/>
            <w:gridSpan w:val="6"/>
            <w:vAlign w:val="center"/>
          </w:tcPr>
          <w:p w14:paraId="0D235300"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r w:rsidR="001C1D92" w:rsidRPr="00441706" w14:paraId="02794B32" w14:textId="77777777" w:rsidTr="004D26F0">
        <w:tc>
          <w:tcPr>
            <w:tcW w:w="1697" w:type="pct"/>
            <w:gridSpan w:val="2"/>
            <w:vAlign w:val="center"/>
          </w:tcPr>
          <w:p w14:paraId="2698A63B" w14:textId="77777777" w:rsidR="001C1D92" w:rsidRPr="00441706" w:rsidRDefault="00BE7A9F" w:rsidP="001C56CE">
            <w:pPr>
              <w:spacing w:after="0" w:line="240" w:lineRule="auto"/>
              <w:jc w:val="both"/>
              <w:rPr>
                <w:rFonts w:ascii="Times New Roman" w:eastAsia="Times New Roman" w:hAnsi="Times New Roman"/>
                <w:noProof/>
                <w:sz w:val="24"/>
                <w:szCs w:val="24"/>
                <w:lang w:val="ro-RO"/>
              </w:rPr>
            </w:pPr>
            <w:r w:rsidRPr="00441706">
              <w:rPr>
                <w:rFonts w:ascii="Times New Roman" w:eastAsia="Times New Roman" w:hAnsi="Times New Roman"/>
                <w:noProof/>
                <w:sz w:val="24"/>
                <w:szCs w:val="24"/>
                <w:lang w:val="ro-RO"/>
              </w:rPr>
              <w:t>8.</w:t>
            </w:r>
            <w:r w:rsidR="001C1D92" w:rsidRPr="00441706">
              <w:rPr>
                <w:rFonts w:ascii="Times New Roman" w:eastAsia="Times New Roman" w:hAnsi="Times New Roman"/>
                <w:noProof/>
                <w:sz w:val="24"/>
                <w:szCs w:val="24"/>
                <w:lang w:val="ro-RO"/>
              </w:rPr>
              <w:t xml:space="preserve">2. Alte informaţii          </w:t>
            </w:r>
          </w:p>
        </w:tc>
        <w:tc>
          <w:tcPr>
            <w:tcW w:w="3303" w:type="pct"/>
            <w:gridSpan w:val="6"/>
            <w:vAlign w:val="center"/>
          </w:tcPr>
          <w:p w14:paraId="492DF0BC" w14:textId="77777777" w:rsidR="001C1D92" w:rsidRPr="00441706" w:rsidRDefault="001C1D92" w:rsidP="001C56CE">
            <w:pPr>
              <w:spacing w:after="0" w:line="240" w:lineRule="auto"/>
              <w:jc w:val="both"/>
              <w:rPr>
                <w:rFonts w:ascii="Times New Roman" w:eastAsia="Times New Roman" w:hAnsi="Times New Roman"/>
                <w:noProof/>
                <w:sz w:val="24"/>
                <w:szCs w:val="24"/>
                <w:lang w:val="ro-RO"/>
              </w:rPr>
            </w:pPr>
          </w:p>
        </w:tc>
      </w:tr>
    </w:tbl>
    <w:p w14:paraId="02466A0D" w14:textId="77777777" w:rsidR="002B0BDF" w:rsidRPr="00441706" w:rsidRDefault="002B0BDF" w:rsidP="001C56CE">
      <w:pPr>
        <w:pStyle w:val="rvps1"/>
        <w:spacing w:before="0" w:beforeAutospacing="0" w:after="0" w:afterAutospacing="0"/>
        <w:ind w:firstLine="720"/>
        <w:jc w:val="both"/>
        <w:rPr>
          <w:noProof/>
          <w:lang w:val="ro-RO"/>
        </w:rPr>
      </w:pPr>
    </w:p>
    <w:p w14:paraId="0E70C979" w14:textId="5D1076A8" w:rsidR="008B44AC" w:rsidRPr="00441706" w:rsidRDefault="004D26F0" w:rsidP="001C56CE">
      <w:pPr>
        <w:spacing w:after="0" w:line="240" w:lineRule="auto"/>
        <w:jc w:val="both"/>
        <w:rPr>
          <w:rFonts w:ascii="Times New Roman" w:eastAsia="Times New Roman" w:hAnsi="Times New Roman"/>
          <w:noProof/>
          <w:sz w:val="24"/>
          <w:szCs w:val="24"/>
        </w:rPr>
      </w:pPr>
      <w:r w:rsidRPr="00441706">
        <w:rPr>
          <w:rFonts w:ascii="Times New Roman" w:hAnsi="Times New Roman"/>
          <w:noProof/>
          <w:sz w:val="24"/>
          <w:szCs w:val="24"/>
          <w:lang w:val="ro-RO"/>
        </w:rPr>
        <w:t>Fa</w:t>
      </w:r>
      <w:r w:rsidR="00924D7C" w:rsidRPr="00441706">
        <w:rPr>
          <w:rFonts w:ascii="Times New Roman" w:hAnsi="Times New Roman"/>
          <w:noProof/>
          <w:sz w:val="24"/>
          <w:szCs w:val="24"/>
          <w:lang w:val="ro-RO"/>
        </w:rPr>
        <w:t xml:space="preserve">ţă de cele prezentate, a fost </w:t>
      </w:r>
      <w:r w:rsidR="0051291D" w:rsidRPr="00441706">
        <w:rPr>
          <w:rFonts w:ascii="Times New Roman" w:hAnsi="Times New Roman"/>
          <w:noProof/>
          <w:sz w:val="24"/>
          <w:szCs w:val="24"/>
          <w:lang w:val="ro-RO"/>
        </w:rPr>
        <w:t>promovată prezenta Hotărâre a Guvernului</w:t>
      </w:r>
      <w:r w:rsidR="001E452F" w:rsidRPr="00441706">
        <w:rPr>
          <w:rFonts w:ascii="Times New Roman" w:hAnsi="Times New Roman"/>
          <w:noProof/>
          <w:sz w:val="24"/>
          <w:szCs w:val="24"/>
          <w:lang w:val="ro-RO"/>
        </w:rPr>
        <w:t xml:space="preserve"> privind</w:t>
      </w:r>
      <w:r w:rsidR="001E452F" w:rsidRPr="00441706">
        <w:rPr>
          <w:rFonts w:ascii="Times New Roman" w:eastAsia="Times New Roman" w:hAnsi="Times New Roman"/>
          <w:noProof/>
          <w:sz w:val="24"/>
          <w:szCs w:val="24"/>
          <w:lang w:val="ro-RO"/>
        </w:rPr>
        <w:t xml:space="preserve"> fuziunea prin absorbție dintre</w:t>
      </w:r>
      <w:r w:rsidR="001E452F" w:rsidRPr="00441706">
        <w:rPr>
          <w:rFonts w:ascii="Times New Roman" w:eastAsia="Times New Roman" w:hAnsi="Times New Roman"/>
          <w:noProof/>
          <w:sz w:val="24"/>
          <w:szCs w:val="24"/>
        </w:rPr>
        <w:t xml:space="preserve"> Societatea de Administrare a Participațiilor în Energie SA (societate absorbantă) și Societatea Electrocenrale Grup SA (societate absorbită).</w:t>
      </w:r>
    </w:p>
    <w:p w14:paraId="71E0E874" w14:textId="77777777" w:rsidR="009462D7" w:rsidRDefault="009462D7" w:rsidP="001C56CE">
      <w:pPr>
        <w:spacing w:after="0" w:line="240" w:lineRule="auto"/>
        <w:jc w:val="both"/>
        <w:rPr>
          <w:rFonts w:ascii="Times New Roman" w:eastAsia="Times New Roman" w:hAnsi="Times New Roman"/>
          <w:noProof/>
          <w:sz w:val="24"/>
          <w:szCs w:val="24"/>
        </w:rPr>
      </w:pPr>
    </w:p>
    <w:p w14:paraId="31D57E3F" w14:textId="77777777" w:rsidR="00F55031" w:rsidRPr="00F55031" w:rsidRDefault="00F55031" w:rsidP="00F55031">
      <w:pPr>
        <w:spacing w:line="360" w:lineRule="auto"/>
        <w:jc w:val="center"/>
        <w:rPr>
          <w:rFonts w:ascii="Times New Roman" w:hAnsi="Times New Roman"/>
          <w:b/>
          <w:noProof/>
          <w:sz w:val="24"/>
          <w:szCs w:val="24"/>
        </w:rPr>
      </w:pPr>
      <w:r w:rsidRPr="00F55031">
        <w:rPr>
          <w:rFonts w:ascii="Times New Roman" w:hAnsi="Times New Roman"/>
          <w:b/>
          <w:noProof/>
          <w:sz w:val="24"/>
          <w:szCs w:val="24"/>
        </w:rPr>
        <w:t>MINISTRUL ENERGIEI, INTERIMAR</w:t>
      </w:r>
    </w:p>
    <w:p w14:paraId="665906D5" w14:textId="77777777" w:rsidR="00F55031" w:rsidRPr="00F55031" w:rsidRDefault="00F55031" w:rsidP="00F55031">
      <w:pPr>
        <w:tabs>
          <w:tab w:val="left" w:pos="3105"/>
          <w:tab w:val="center" w:pos="5240"/>
        </w:tabs>
        <w:spacing w:line="360" w:lineRule="auto"/>
        <w:ind w:firstLine="360"/>
        <w:jc w:val="center"/>
        <w:rPr>
          <w:rFonts w:ascii="Times New Roman" w:hAnsi="Times New Roman"/>
          <w:b/>
          <w:sz w:val="24"/>
          <w:szCs w:val="24"/>
          <w:lang w:eastAsia="ro-RO"/>
        </w:rPr>
      </w:pPr>
      <w:r w:rsidRPr="00F55031">
        <w:rPr>
          <w:rFonts w:ascii="Times New Roman" w:hAnsi="Times New Roman"/>
          <w:b/>
          <w:sz w:val="24"/>
          <w:szCs w:val="24"/>
          <w:lang w:eastAsia="ro-RO"/>
        </w:rPr>
        <w:t>Ilie Gavril BOLOJAN</w:t>
      </w:r>
    </w:p>
    <w:p w14:paraId="00681251" w14:textId="77777777" w:rsidR="00F55031" w:rsidRPr="00F55031" w:rsidRDefault="00F55031" w:rsidP="00F55031">
      <w:pPr>
        <w:tabs>
          <w:tab w:val="left" w:pos="3105"/>
          <w:tab w:val="center" w:pos="5240"/>
        </w:tabs>
        <w:spacing w:line="360" w:lineRule="auto"/>
        <w:ind w:firstLine="360"/>
        <w:jc w:val="center"/>
        <w:rPr>
          <w:rFonts w:ascii="Times New Roman" w:hAnsi="Times New Roman"/>
          <w:b/>
          <w:noProof/>
          <w:sz w:val="24"/>
          <w:szCs w:val="24"/>
        </w:rPr>
      </w:pPr>
    </w:p>
    <w:p w14:paraId="38F08478" w14:textId="6CD39CB5" w:rsidR="00F55031" w:rsidRPr="00F55031" w:rsidRDefault="00F55031" w:rsidP="00F55031">
      <w:pPr>
        <w:spacing w:line="360" w:lineRule="auto"/>
        <w:jc w:val="center"/>
        <w:rPr>
          <w:rFonts w:ascii="Times New Roman" w:hAnsi="Times New Roman"/>
          <w:b/>
          <w:sz w:val="24"/>
          <w:szCs w:val="24"/>
        </w:rPr>
      </w:pPr>
      <w:proofErr w:type="spellStart"/>
      <w:r w:rsidRPr="00F55031">
        <w:rPr>
          <w:rFonts w:ascii="Times New Roman" w:hAnsi="Times New Roman"/>
          <w:b/>
          <w:sz w:val="24"/>
          <w:szCs w:val="24"/>
        </w:rPr>
        <w:t>Avizăm</w:t>
      </w:r>
      <w:proofErr w:type="spellEnd"/>
      <w:r w:rsidRPr="00F55031">
        <w:rPr>
          <w:rFonts w:ascii="Times New Roman" w:hAnsi="Times New Roman"/>
          <w:b/>
          <w:sz w:val="24"/>
          <w:szCs w:val="24"/>
        </w:rPr>
        <w:t xml:space="preserve"> </w:t>
      </w:r>
      <w:proofErr w:type="spellStart"/>
      <w:r w:rsidRPr="00F55031">
        <w:rPr>
          <w:rFonts w:ascii="Times New Roman" w:hAnsi="Times New Roman"/>
          <w:b/>
          <w:sz w:val="24"/>
          <w:szCs w:val="24"/>
        </w:rPr>
        <w:t>favorabil</w:t>
      </w:r>
      <w:proofErr w:type="spellEnd"/>
      <w:r w:rsidRPr="00F55031">
        <w:rPr>
          <w:rFonts w:ascii="Times New Roman" w:hAnsi="Times New Roman"/>
          <w:b/>
          <w:sz w:val="24"/>
          <w:szCs w:val="24"/>
        </w:rPr>
        <w:t>,</w:t>
      </w:r>
    </w:p>
    <w:p w14:paraId="2EDB212E" w14:textId="48C9AE53" w:rsidR="00F55031" w:rsidRPr="00F55031" w:rsidRDefault="00F55031" w:rsidP="00F55031">
      <w:pPr>
        <w:jc w:val="center"/>
        <w:rPr>
          <w:rFonts w:ascii="Times New Roman" w:hAnsi="Times New Roman"/>
          <w:b/>
          <w:sz w:val="24"/>
          <w:szCs w:val="24"/>
        </w:rPr>
      </w:pPr>
      <w:r w:rsidRPr="00F55031">
        <w:rPr>
          <w:rFonts w:ascii="Times New Roman" w:hAnsi="Times New Roman"/>
          <w:b/>
          <w:sz w:val="24"/>
          <w:szCs w:val="24"/>
        </w:rPr>
        <w:t>VICEPRIM-MINISTRU INTERIMAR</w:t>
      </w:r>
    </w:p>
    <w:p w14:paraId="0E1D16B8" w14:textId="4B7B8A81" w:rsidR="00F55031" w:rsidRDefault="00F55031" w:rsidP="00F55031">
      <w:pPr>
        <w:spacing w:line="360" w:lineRule="auto"/>
        <w:jc w:val="center"/>
        <w:rPr>
          <w:rFonts w:ascii="Times New Roman" w:hAnsi="Times New Roman"/>
          <w:b/>
          <w:noProof/>
          <w:sz w:val="24"/>
          <w:szCs w:val="24"/>
        </w:rPr>
      </w:pPr>
      <w:r w:rsidRPr="00F55031">
        <w:rPr>
          <w:rFonts w:ascii="Times New Roman" w:hAnsi="Times New Roman"/>
          <w:b/>
          <w:noProof/>
          <w:sz w:val="24"/>
          <w:szCs w:val="24"/>
        </w:rPr>
        <w:t>Oana - Clara GHEORGHIU</w:t>
      </w:r>
    </w:p>
    <w:p w14:paraId="7C3188FB" w14:textId="77777777" w:rsidR="00F55031" w:rsidRPr="00F55031" w:rsidRDefault="00F55031" w:rsidP="00F55031">
      <w:pPr>
        <w:spacing w:line="360" w:lineRule="auto"/>
        <w:jc w:val="center"/>
        <w:rPr>
          <w:rFonts w:ascii="Times New Roman" w:hAnsi="Times New Roman"/>
          <w:b/>
          <w:noProof/>
          <w:sz w:val="24"/>
          <w:szCs w:val="24"/>
        </w:rPr>
      </w:pPr>
    </w:p>
    <w:p w14:paraId="0CFD4F30" w14:textId="4C0A8ACC" w:rsidR="00F55031" w:rsidRPr="00F55031" w:rsidRDefault="00F55031" w:rsidP="00F55031">
      <w:pPr>
        <w:spacing w:line="360" w:lineRule="auto"/>
        <w:jc w:val="center"/>
        <w:rPr>
          <w:rFonts w:ascii="Times New Roman" w:hAnsi="Times New Roman"/>
          <w:b/>
          <w:noProof/>
          <w:sz w:val="24"/>
          <w:szCs w:val="24"/>
        </w:rPr>
      </w:pPr>
      <w:r w:rsidRPr="00F55031">
        <w:rPr>
          <w:rFonts w:ascii="Times New Roman" w:hAnsi="Times New Roman"/>
          <w:b/>
          <w:noProof/>
          <w:sz w:val="24"/>
          <w:szCs w:val="24"/>
        </w:rPr>
        <w:t>MINISTRUL JUSTIȚIEI, INTERIMAR</w:t>
      </w:r>
    </w:p>
    <w:p w14:paraId="483490A7" w14:textId="19A9138F" w:rsidR="001C56CE" w:rsidRDefault="00F55031" w:rsidP="00F55031">
      <w:pPr>
        <w:spacing w:after="0" w:line="240" w:lineRule="auto"/>
        <w:jc w:val="center"/>
        <w:rPr>
          <w:rFonts w:ascii="Times New Roman" w:eastAsia="Times New Roman" w:hAnsi="Times New Roman"/>
          <w:b/>
          <w:noProof/>
          <w:sz w:val="24"/>
          <w:szCs w:val="24"/>
        </w:rPr>
      </w:pPr>
      <w:r w:rsidRPr="00F55031">
        <w:rPr>
          <w:rFonts w:ascii="Times New Roman" w:eastAsia="Times New Roman" w:hAnsi="Times New Roman"/>
          <w:b/>
          <w:noProof/>
          <w:sz w:val="24"/>
          <w:szCs w:val="24"/>
        </w:rPr>
        <w:t>Marian Cătălin PREDOIU</w:t>
      </w:r>
    </w:p>
    <w:p w14:paraId="2025041A" w14:textId="77777777" w:rsidR="002C3003" w:rsidRDefault="002C3003" w:rsidP="00F55031">
      <w:pPr>
        <w:spacing w:after="0" w:line="240" w:lineRule="auto"/>
        <w:jc w:val="center"/>
        <w:rPr>
          <w:rFonts w:ascii="Times New Roman" w:eastAsia="Times New Roman" w:hAnsi="Times New Roman"/>
          <w:b/>
          <w:noProof/>
          <w:sz w:val="24"/>
          <w:szCs w:val="24"/>
        </w:rPr>
      </w:pPr>
    </w:p>
    <w:p w14:paraId="471B0BCC" w14:textId="77777777" w:rsidR="002C3003" w:rsidRDefault="002C3003" w:rsidP="00F55031">
      <w:pPr>
        <w:spacing w:after="0" w:line="240" w:lineRule="auto"/>
        <w:jc w:val="center"/>
        <w:rPr>
          <w:rFonts w:ascii="Times New Roman" w:eastAsia="Times New Roman" w:hAnsi="Times New Roman"/>
          <w:b/>
          <w:noProof/>
          <w:sz w:val="24"/>
          <w:szCs w:val="24"/>
        </w:rPr>
      </w:pPr>
    </w:p>
    <w:p w14:paraId="73A06D58" w14:textId="77777777" w:rsidR="002C3003" w:rsidRDefault="002C3003" w:rsidP="00F55031">
      <w:pPr>
        <w:spacing w:after="0" w:line="240" w:lineRule="auto"/>
        <w:jc w:val="center"/>
        <w:rPr>
          <w:rFonts w:ascii="Times New Roman" w:eastAsia="Times New Roman" w:hAnsi="Times New Roman"/>
          <w:b/>
          <w:noProof/>
          <w:sz w:val="24"/>
          <w:szCs w:val="24"/>
        </w:rPr>
      </w:pPr>
    </w:p>
    <w:p w14:paraId="6C8FB9CF" w14:textId="77777777" w:rsidR="002C3003" w:rsidRDefault="002C3003" w:rsidP="00F55031">
      <w:pPr>
        <w:spacing w:after="0" w:line="240" w:lineRule="auto"/>
        <w:jc w:val="center"/>
        <w:rPr>
          <w:rFonts w:ascii="Times New Roman" w:eastAsia="Times New Roman" w:hAnsi="Times New Roman"/>
          <w:b/>
          <w:noProof/>
          <w:sz w:val="24"/>
          <w:szCs w:val="24"/>
        </w:rPr>
      </w:pPr>
    </w:p>
    <w:sectPr w:rsidR="002C3003" w:rsidSect="0051291D">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11E0" w14:textId="77777777" w:rsidR="00387CDF" w:rsidRDefault="00387CDF" w:rsidP="006D2BE4">
      <w:pPr>
        <w:spacing w:after="0" w:line="240" w:lineRule="auto"/>
      </w:pPr>
      <w:r>
        <w:separator/>
      </w:r>
    </w:p>
  </w:endnote>
  <w:endnote w:type="continuationSeparator" w:id="0">
    <w:p w14:paraId="04DFB88B" w14:textId="77777777" w:rsidR="00387CDF" w:rsidRDefault="00387CDF" w:rsidP="006D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D847" w14:textId="77777777" w:rsidR="006D2BE4" w:rsidRDefault="001546E5">
    <w:pPr>
      <w:pStyle w:val="Footer"/>
      <w:jc w:val="right"/>
    </w:pPr>
    <w:r>
      <w:fldChar w:fldCharType="begin"/>
    </w:r>
    <w:r w:rsidR="006D2BE4">
      <w:instrText xml:space="preserve"> PAGE   \* MERGEFORMAT </w:instrText>
    </w:r>
    <w:r>
      <w:fldChar w:fldCharType="separate"/>
    </w:r>
    <w:r w:rsidR="002F2A44">
      <w:rPr>
        <w:noProof/>
      </w:rPr>
      <w:t>3</w:t>
    </w:r>
    <w:r>
      <w:rPr>
        <w:noProof/>
      </w:rPr>
      <w:fldChar w:fldCharType="end"/>
    </w:r>
  </w:p>
  <w:p w14:paraId="36CCEB5E" w14:textId="77777777" w:rsidR="006D2BE4" w:rsidRDefault="006D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D882" w14:textId="77777777" w:rsidR="00387CDF" w:rsidRDefault="00387CDF" w:rsidP="006D2BE4">
      <w:pPr>
        <w:spacing w:after="0" w:line="240" w:lineRule="auto"/>
      </w:pPr>
      <w:r>
        <w:separator/>
      </w:r>
    </w:p>
  </w:footnote>
  <w:footnote w:type="continuationSeparator" w:id="0">
    <w:p w14:paraId="3025A301" w14:textId="77777777" w:rsidR="00387CDF" w:rsidRDefault="00387CDF" w:rsidP="006D2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A9"/>
    <w:multiLevelType w:val="hybridMultilevel"/>
    <w:tmpl w:val="15A85070"/>
    <w:lvl w:ilvl="0" w:tplc="9ED2887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27029"/>
    <w:multiLevelType w:val="hybridMultilevel"/>
    <w:tmpl w:val="BF0262A8"/>
    <w:lvl w:ilvl="0" w:tplc="550868E6">
      <w:start w:val="19"/>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8E6462"/>
    <w:multiLevelType w:val="hybridMultilevel"/>
    <w:tmpl w:val="9B24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12D3C"/>
    <w:multiLevelType w:val="hybridMultilevel"/>
    <w:tmpl w:val="47B42936"/>
    <w:lvl w:ilvl="0" w:tplc="84948DCA">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37B56C51"/>
    <w:multiLevelType w:val="multilevel"/>
    <w:tmpl w:val="58B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207B3"/>
    <w:multiLevelType w:val="hybridMultilevel"/>
    <w:tmpl w:val="1630B8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B023C"/>
    <w:multiLevelType w:val="hybridMultilevel"/>
    <w:tmpl w:val="122A3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B02FC"/>
    <w:multiLevelType w:val="hybridMultilevel"/>
    <w:tmpl w:val="28D4A4F8"/>
    <w:lvl w:ilvl="0" w:tplc="8B6A04BA">
      <w:start w:val="2"/>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6C8E5344"/>
    <w:multiLevelType w:val="hybridMultilevel"/>
    <w:tmpl w:val="5FB29800"/>
    <w:lvl w:ilvl="0" w:tplc="84948DC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CB9422C"/>
    <w:multiLevelType w:val="hybridMultilevel"/>
    <w:tmpl w:val="9F9A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2D4BFF"/>
    <w:multiLevelType w:val="hybridMultilevel"/>
    <w:tmpl w:val="F6002942"/>
    <w:lvl w:ilvl="0" w:tplc="84948D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0655460">
    <w:abstractNumId w:val="10"/>
  </w:num>
  <w:num w:numId="2" w16cid:durableId="1154566239">
    <w:abstractNumId w:val="6"/>
  </w:num>
  <w:num w:numId="3" w16cid:durableId="1850637485">
    <w:abstractNumId w:val="9"/>
  </w:num>
  <w:num w:numId="4" w16cid:durableId="870335798">
    <w:abstractNumId w:val="7"/>
  </w:num>
  <w:num w:numId="5" w16cid:durableId="53897684">
    <w:abstractNumId w:val="3"/>
  </w:num>
  <w:num w:numId="6" w16cid:durableId="413212795">
    <w:abstractNumId w:val="8"/>
  </w:num>
  <w:num w:numId="7" w16cid:durableId="1241676916">
    <w:abstractNumId w:val="0"/>
  </w:num>
  <w:num w:numId="8" w16cid:durableId="97062125">
    <w:abstractNumId w:val="4"/>
  </w:num>
  <w:num w:numId="9" w16cid:durableId="1991253779">
    <w:abstractNumId w:val="2"/>
  </w:num>
  <w:num w:numId="10" w16cid:durableId="613026352">
    <w:abstractNumId w:val="1"/>
  </w:num>
  <w:num w:numId="11" w16cid:durableId="1364557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BF0"/>
    <w:rsid w:val="00001D2F"/>
    <w:rsid w:val="000138BD"/>
    <w:rsid w:val="000169CD"/>
    <w:rsid w:val="00030FFF"/>
    <w:rsid w:val="0004775C"/>
    <w:rsid w:val="00061338"/>
    <w:rsid w:val="0006213C"/>
    <w:rsid w:val="000710FE"/>
    <w:rsid w:val="00077B02"/>
    <w:rsid w:val="00091200"/>
    <w:rsid w:val="000A024C"/>
    <w:rsid w:val="000A144B"/>
    <w:rsid w:val="000A4B41"/>
    <w:rsid w:val="000B5639"/>
    <w:rsid w:val="000C10C0"/>
    <w:rsid w:val="000C5BFC"/>
    <w:rsid w:val="000D0E4A"/>
    <w:rsid w:val="000D428A"/>
    <w:rsid w:val="00105CC4"/>
    <w:rsid w:val="00107272"/>
    <w:rsid w:val="00110FD3"/>
    <w:rsid w:val="00114B01"/>
    <w:rsid w:val="0014520C"/>
    <w:rsid w:val="001546E5"/>
    <w:rsid w:val="00160C6D"/>
    <w:rsid w:val="0016691B"/>
    <w:rsid w:val="00182C1B"/>
    <w:rsid w:val="0018364C"/>
    <w:rsid w:val="00192FE8"/>
    <w:rsid w:val="001B7E59"/>
    <w:rsid w:val="001C1D92"/>
    <w:rsid w:val="001C2DA3"/>
    <w:rsid w:val="001C56CE"/>
    <w:rsid w:val="001C58E4"/>
    <w:rsid w:val="001C7568"/>
    <w:rsid w:val="001D47DE"/>
    <w:rsid w:val="001E2261"/>
    <w:rsid w:val="001E452F"/>
    <w:rsid w:val="001F1911"/>
    <w:rsid w:val="001F20C6"/>
    <w:rsid w:val="001F4D14"/>
    <w:rsid w:val="0020290E"/>
    <w:rsid w:val="00206CFC"/>
    <w:rsid w:val="00231AFA"/>
    <w:rsid w:val="0024249E"/>
    <w:rsid w:val="0024301D"/>
    <w:rsid w:val="00245BC9"/>
    <w:rsid w:val="00277CFE"/>
    <w:rsid w:val="00284F61"/>
    <w:rsid w:val="00290548"/>
    <w:rsid w:val="00294FB2"/>
    <w:rsid w:val="002B0BDF"/>
    <w:rsid w:val="002B3FE2"/>
    <w:rsid w:val="002C24BA"/>
    <w:rsid w:val="002C3003"/>
    <w:rsid w:val="002C3B61"/>
    <w:rsid w:val="002D3664"/>
    <w:rsid w:val="002F2A44"/>
    <w:rsid w:val="002F429E"/>
    <w:rsid w:val="002F4D4E"/>
    <w:rsid w:val="00303503"/>
    <w:rsid w:val="00312565"/>
    <w:rsid w:val="00314E60"/>
    <w:rsid w:val="0031651D"/>
    <w:rsid w:val="003329BB"/>
    <w:rsid w:val="00336DB3"/>
    <w:rsid w:val="00343991"/>
    <w:rsid w:val="00367E2C"/>
    <w:rsid w:val="00374A57"/>
    <w:rsid w:val="00387CDF"/>
    <w:rsid w:val="00396A70"/>
    <w:rsid w:val="003C06F6"/>
    <w:rsid w:val="003D226E"/>
    <w:rsid w:val="003F0DF6"/>
    <w:rsid w:val="00400FDB"/>
    <w:rsid w:val="00404941"/>
    <w:rsid w:val="004105D7"/>
    <w:rsid w:val="00421E6D"/>
    <w:rsid w:val="00432768"/>
    <w:rsid w:val="00441706"/>
    <w:rsid w:val="0044276C"/>
    <w:rsid w:val="004560BE"/>
    <w:rsid w:val="00471B6B"/>
    <w:rsid w:val="004752DD"/>
    <w:rsid w:val="004B2A4F"/>
    <w:rsid w:val="004C7A60"/>
    <w:rsid w:val="004D26F0"/>
    <w:rsid w:val="004F0E47"/>
    <w:rsid w:val="004F3F47"/>
    <w:rsid w:val="004F5E48"/>
    <w:rsid w:val="004F6348"/>
    <w:rsid w:val="005011A3"/>
    <w:rsid w:val="0051291D"/>
    <w:rsid w:val="00514E23"/>
    <w:rsid w:val="005230ED"/>
    <w:rsid w:val="0052599A"/>
    <w:rsid w:val="00583F47"/>
    <w:rsid w:val="00586D95"/>
    <w:rsid w:val="00597126"/>
    <w:rsid w:val="005A4619"/>
    <w:rsid w:val="005A55D5"/>
    <w:rsid w:val="005B2ECA"/>
    <w:rsid w:val="005B3261"/>
    <w:rsid w:val="005B7923"/>
    <w:rsid w:val="005D0FE8"/>
    <w:rsid w:val="005D18D1"/>
    <w:rsid w:val="005D5C62"/>
    <w:rsid w:val="005F4207"/>
    <w:rsid w:val="006069DB"/>
    <w:rsid w:val="00637831"/>
    <w:rsid w:val="006505E1"/>
    <w:rsid w:val="00666CE6"/>
    <w:rsid w:val="00680DAD"/>
    <w:rsid w:val="006828C3"/>
    <w:rsid w:val="00682C23"/>
    <w:rsid w:val="00692F26"/>
    <w:rsid w:val="006A7306"/>
    <w:rsid w:val="006B0214"/>
    <w:rsid w:val="006B4EA0"/>
    <w:rsid w:val="006C12F5"/>
    <w:rsid w:val="006D2BE4"/>
    <w:rsid w:val="006E5B2C"/>
    <w:rsid w:val="006F2F85"/>
    <w:rsid w:val="006F5D06"/>
    <w:rsid w:val="00710FF7"/>
    <w:rsid w:val="007131BA"/>
    <w:rsid w:val="0071610B"/>
    <w:rsid w:val="00760C84"/>
    <w:rsid w:val="0076469D"/>
    <w:rsid w:val="00773CC9"/>
    <w:rsid w:val="007A4D1C"/>
    <w:rsid w:val="007A7B79"/>
    <w:rsid w:val="007B29C6"/>
    <w:rsid w:val="007D1267"/>
    <w:rsid w:val="007D14B3"/>
    <w:rsid w:val="007D254D"/>
    <w:rsid w:val="007D6217"/>
    <w:rsid w:val="007E1A3E"/>
    <w:rsid w:val="007E507B"/>
    <w:rsid w:val="00802A96"/>
    <w:rsid w:val="00815AD7"/>
    <w:rsid w:val="00823EDC"/>
    <w:rsid w:val="00824477"/>
    <w:rsid w:val="00832BED"/>
    <w:rsid w:val="00855B61"/>
    <w:rsid w:val="008618D6"/>
    <w:rsid w:val="00861F81"/>
    <w:rsid w:val="0086230C"/>
    <w:rsid w:val="008625F0"/>
    <w:rsid w:val="00870167"/>
    <w:rsid w:val="0088075A"/>
    <w:rsid w:val="008864A3"/>
    <w:rsid w:val="008931F1"/>
    <w:rsid w:val="008B3E0A"/>
    <w:rsid w:val="008B44AC"/>
    <w:rsid w:val="008C0A1E"/>
    <w:rsid w:val="008C3607"/>
    <w:rsid w:val="008E19CF"/>
    <w:rsid w:val="008E3D9E"/>
    <w:rsid w:val="008E7636"/>
    <w:rsid w:val="008F6C2C"/>
    <w:rsid w:val="00902E41"/>
    <w:rsid w:val="0091569C"/>
    <w:rsid w:val="00924D7C"/>
    <w:rsid w:val="00943A21"/>
    <w:rsid w:val="00944F17"/>
    <w:rsid w:val="009462D7"/>
    <w:rsid w:val="00967492"/>
    <w:rsid w:val="009A5E7A"/>
    <w:rsid w:val="009B05A6"/>
    <w:rsid w:val="009B23B5"/>
    <w:rsid w:val="009C529E"/>
    <w:rsid w:val="009C6814"/>
    <w:rsid w:val="009C76D7"/>
    <w:rsid w:val="009D08C9"/>
    <w:rsid w:val="009D2571"/>
    <w:rsid w:val="009D4885"/>
    <w:rsid w:val="009D545B"/>
    <w:rsid w:val="009E29DD"/>
    <w:rsid w:val="009E4066"/>
    <w:rsid w:val="009E7FA5"/>
    <w:rsid w:val="00A01ED1"/>
    <w:rsid w:val="00A0701C"/>
    <w:rsid w:val="00A342B1"/>
    <w:rsid w:val="00A41BF0"/>
    <w:rsid w:val="00A4714C"/>
    <w:rsid w:val="00A51FF1"/>
    <w:rsid w:val="00A57A02"/>
    <w:rsid w:val="00A61725"/>
    <w:rsid w:val="00A667E0"/>
    <w:rsid w:val="00A704E9"/>
    <w:rsid w:val="00A86424"/>
    <w:rsid w:val="00AA05DD"/>
    <w:rsid w:val="00AA4C01"/>
    <w:rsid w:val="00AB78DF"/>
    <w:rsid w:val="00AC4751"/>
    <w:rsid w:val="00AC57F8"/>
    <w:rsid w:val="00AD76EA"/>
    <w:rsid w:val="00AE1117"/>
    <w:rsid w:val="00AE48A3"/>
    <w:rsid w:val="00AF38C3"/>
    <w:rsid w:val="00B118AA"/>
    <w:rsid w:val="00B11C80"/>
    <w:rsid w:val="00B25CDD"/>
    <w:rsid w:val="00B54084"/>
    <w:rsid w:val="00B56A29"/>
    <w:rsid w:val="00B608A3"/>
    <w:rsid w:val="00B657C0"/>
    <w:rsid w:val="00B745D8"/>
    <w:rsid w:val="00B74DD7"/>
    <w:rsid w:val="00B931FB"/>
    <w:rsid w:val="00BB3EB0"/>
    <w:rsid w:val="00BC0BCA"/>
    <w:rsid w:val="00BD15CF"/>
    <w:rsid w:val="00BD6DA7"/>
    <w:rsid w:val="00BE0859"/>
    <w:rsid w:val="00BE7A9F"/>
    <w:rsid w:val="00BF1864"/>
    <w:rsid w:val="00C15322"/>
    <w:rsid w:val="00C22473"/>
    <w:rsid w:val="00C24F1A"/>
    <w:rsid w:val="00C31938"/>
    <w:rsid w:val="00C430B2"/>
    <w:rsid w:val="00C4691A"/>
    <w:rsid w:val="00C56658"/>
    <w:rsid w:val="00C666E4"/>
    <w:rsid w:val="00C8388C"/>
    <w:rsid w:val="00C91508"/>
    <w:rsid w:val="00CA7B96"/>
    <w:rsid w:val="00CB63A1"/>
    <w:rsid w:val="00CD6A65"/>
    <w:rsid w:val="00CD74B8"/>
    <w:rsid w:val="00CE0CBB"/>
    <w:rsid w:val="00CE25FA"/>
    <w:rsid w:val="00D32E2A"/>
    <w:rsid w:val="00D35215"/>
    <w:rsid w:val="00D353F6"/>
    <w:rsid w:val="00D53B6F"/>
    <w:rsid w:val="00D553B3"/>
    <w:rsid w:val="00D638C5"/>
    <w:rsid w:val="00D64AE8"/>
    <w:rsid w:val="00D72092"/>
    <w:rsid w:val="00D94D44"/>
    <w:rsid w:val="00DC49F7"/>
    <w:rsid w:val="00DD0A03"/>
    <w:rsid w:val="00DF772E"/>
    <w:rsid w:val="00E03038"/>
    <w:rsid w:val="00E12203"/>
    <w:rsid w:val="00E13CB8"/>
    <w:rsid w:val="00E1434A"/>
    <w:rsid w:val="00E2432C"/>
    <w:rsid w:val="00E42DDC"/>
    <w:rsid w:val="00E60D48"/>
    <w:rsid w:val="00E61EE7"/>
    <w:rsid w:val="00E66AAD"/>
    <w:rsid w:val="00E706D3"/>
    <w:rsid w:val="00E71437"/>
    <w:rsid w:val="00E739E7"/>
    <w:rsid w:val="00E9463B"/>
    <w:rsid w:val="00E97563"/>
    <w:rsid w:val="00ED5CE5"/>
    <w:rsid w:val="00EE6F1B"/>
    <w:rsid w:val="00F165F5"/>
    <w:rsid w:val="00F2508D"/>
    <w:rsid w:val="00F34F20"/>
    <w:rsid w:val="00F41145"/>
    <w:rsid w:val="00F55031"/>
    <w:rsid w:val="00F603FE"/>
    <w:rsid w:val="00F84E77"/>
    <w:rsid w:val="00F87926"/>
    <w:rsid w:val="00F91624"/>
    <w:rsid w:val="00FC5855"/>
    <w:rsid w:val="00FC6F58"/>
    <w:rsid w:val="00FE3C3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C466"/>
  <w15:docId w15:val="{2159681F-0415-4D33-AFC6-5A6BAE57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E5"/>
    <w:pPr>
      <w:spacing w:after="200" w:line="276" w:lineRule="auto"/>
    </w:pPr>
    <w:rPr>
      <w:sz w:val="22"/>
      <w:szCs w:val="22"/>
      <w:lang w:val="en-US" w:eastAsia="en-US"/>
    </w:rPr>
  </w:style>
  <w:style w:type="paragraph" w:styleId="Heading2">
    <w:name w:val="heading 2"/>
    <w:basedOn w:val="Normal"/>
    <w:link w:val="Heading2Char"/>
    <w:uiPriority w:val="9"/>
    <w:qFormat/>
    <w:rsid w:val="00B11C80"/>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2,List Paragraph1,Normal bullet 2,lp1,Bullet,Liste 1,body 2,Citation List,본문(내용),List Paragraph (numbered (a)),Paragraph,Bullet EY,List L1,List Paragraph11,Forth level,List1,Listă colorată - Accentuare 11,Listă paragraf1,Heading x1"/>
    <w:basedOn w:val="Normal"/>
    <w:link w:val="ListParagraphChar"/>
    <w:uiPriority w:val="34"/>
    <w:qFormat/>
    <w:rsid w:val="001F4D14"/>
    <w:pPr>
      <w:ind w:left="720"/>
      <w:contextualSpacing/>
    </w:pPr>
  </w:style>
  <w:style w:type="paragraph" w:styleId="BodyText">
    <w:name w:val="Body Text"/>
    <w:basedOn w:val="Normal"/>
    <w:link w:val="BodyTextChar"/>
    <w:rsid w:val="001F4D14"/>
    <w:pPr>
      <w:spacing w:before="120" w:after="120" w:line="240" w:lineRule="auto"/>
      <w:jc w:val="both"/>
    </w:pPr>
    <w:rPr>
      <w:rFonts w:ascii="Times New Roman" w:eastAsia="Times New Roman" w:hAnsi="Times New Roman"/>
      <w:sz w:val="24"/>
      <w:szCs w:val="24"/>
      <w:lang w:val="ro-RO"/>
    </w:rPr>
  </w:style>
  <w:style w:type="character" w:customStyle="1" w:styleId="BodyTextChar">
    <w:name w:val="Body Text Char"/>
    <w:link w:val="BodyText"/>
    <w:rsid w:val="001F4D14"/>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5259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99A"/>
    <w:rPr>
      <w:rFonts w:ascii="Tahoma" w:hAnsi="Tahoma" w:cs="Tahoma"/>
      <w:sz w:val="16"/>
      <w:szCs w:val="16"/>
    </w:rPr>
  </w:style>
  <w:style w:type="paragraph" w:styleId="Header">
    <w:name w:val="header"/>
    <w:basedOn w:val="Normal"/>
    <w:link w:val="HeaderChar"/>
    <w:uiPriority w:val="99"/>
    <w:unhideWhenUsed/>
    <w:rsid w:val="006D2B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BE4"/>
  </w:style>
  <w:style w:type="paragraph" w:styleId="Footer">
    <w:name w:val="footer"/>
    <w:basedOn w:val="Normal"/>
    <w:link w:val="FooterChar"/>
    <w:uiPriority w:val="99"/>
    <w:unhideWhenUsed/>
    <w:rsid w:val="006D2B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BE4"/>
  </w:style>
  <w:style w:type="character" w:customStyle="1" w:styleId="Heading2Char">
    <w:name w:val="Heading 2 Char"/>
    <w:link w:val="Heading2"/>
    <w:uiPriority w:val="9"/>
    <w:rsid w:val="00B11C80"/>
    <w:rPr>
      <w:rFonts w:ascii="Times New Roman" w:eastAsia="Times New Roman" w:hAnsi="Times New Roman"/>
      <w:b/>
      <w:bCs/>
      <w:sz w:val="36"/>
      <w:szCs w:val="36"/>
    </w:rPr>
  </w:style>
  <w:style w:type="paragraph" w:styleId="BodyText2">
    <w:name w:val="Body Text 2"/>
    <w:basedOn w:val="Normal"/>
    <w:link w:val="BodyText2Char"/>
    <w:uiPriority w:val="99"/>
    <w:semiHidden/>
    <w:unhideWhenUsed/>
    <w:rsid w:val="005B3261"/>
    <w:pPr>
      <w:spacing w:after="120" w:line="480" w:lineRule="auto"/>
    </w:pPr>
  </w:style>
  <w:style w:type="character" w:customStyle="1" w:styleId="BodyText2Char">
    <w:name w:val="Body Text 2 Char"/>
    <w:link w:val="BodyText2"/>
    <w:uiPriority w:val="99"/>
    <w:semiHidden/>
    <w:rsid w:val="005B3261"/>
    <w:rPr>
      <w:sz w:val="22"/>
      <w:szCs w:val="22"/>
    </w:rPr>
  </w:style>
  <w:style w:type="character" w:customStyle="1" w:styleId="rvts4">
    <w:name w:val="rvts4"/>
    <w:rsid w:val="00110FD3"/>
  </w:style>
  <w:style w:type="character" w:customStyle="1" w:styleId="rvts2">
    <w:name w:val="rvts2"/>
    <w:rsid w:val="00110FD3"/>
  </w:style>
  <w:style w:type="paragraph" w:styleId="NoSpacing">
    <w:name w:val="No Spacing"/>
    <w:uiPriority w:val="1"/>
    <w:qFormat/>
    <w:rsid w:val="007B29C6"/>
    <w:rPr>
      <w:sz w:val="22"/>
      <w:szCs w:val="22"/>
      <w:lang w:val="en-US" w:eastAsia="en-US"/>
    </w:rPr>
  </w:style>
  <w:style w:type="paragraph" w:customStyle="1" w:styleId="rvps1">
    <w:name w:val="rvps1"/>
    <w:basedOn w:val="Normal"/>
    <w:rsid w:val="008B44AC"/>
    <w:pPr>
      <w:spacing w:before="100" w:beforeAutospacing="1" w:after="100" w:afterAutospacing="1" w:line="240" w:lineRule="auto"/>
    </w:pPr>
    <w:rPr>
      <w:rFonts w:ascii="Times New Roman" w:eastAsia="Times New Roman" w:hAnsi="Times New Roman"/>
      <w:sz w:val="24"/>
      <w:szCs w:val="24"/>
    </w:rPr>
  </w:style>
  <w:style w:type="character" w:customStyle="1" w:styleId="rvts1">
    <w:name w:val="rvts1"/>
    <w:rsid w:val="000138BD"/>
  </w:style>
  <w:style w:type="paragraph" w:styleId="NormalWeb">
    <w:name w:val="Normal (Web)"/>
    <w:basedOn w:val="Normal"/>
    <w:uiPriority w:val="99"/>
    <w:unhideWhenUsed/>
    <w:rsid w:val="000138BD"/>
    <w:pPr>
      <w:spacing w:before="100" w:beforeAutospacing="1" w:after="100" w:afterAutospacing="1" w:line="240" w:lineRule="auto"/>
    </w:pPr>
    <w:rPr>
      <w:rFonts w:ascii="Times New Roman" w:eastAsia="Times New Roman" w:hAnsi="Times New Roman"/>
      <w:sz w:val="24"/>
      <w:szCs w:val="24"/>
    </w:rPr>
  </w:style>
  <w:style w:type="character" w:customStyle="1" w:styleId="rvts3">
    <w:name w:val="rvts3"/>
    <w:rsid w:val="000138BD"/>
  </w:style>
  <w:style w:type="character" w:customStyle="1" w:styleId="rvts7">
    <w:name w:val="rvts7"/>
    <w:rsid w:val="003D226E"/>
  </w:style>
  <w:style w:type="character" w:customStyle="1" w:styleId="ListParagraphChar">
    <w:name w:val="List Paragraph Char"/>
    <w:aliases w:val="Normal2 Char,List Paragraph1 Char,Normal bullet 2 Char,lp1 Char,Bullet Char,Liste 1 Char,body 2 Char,Citation List Char,본문(내용) Char,List Paragraph (numbered (a)) Char,Paragraph Char,Bullet EY Char,List L1 Char,List Paragraph11 Char"/>
    <w:link w:val="ListParagraph"/>
    <w:uiPriority w:val="34"/>
    <w:qFormat/>
    <w:locked/>
    <w:rsid w:val="001C56C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2556">
      <w:bodyDiv w:val="1"/>
      <w:marLeft w:val="0"/>
      <w:marRight w:val="0"/>
      <w:marTop w:val="0"/>
      <w:marBottom w:val="0"/>
      <w:divBdr>
        <w:top w:val="none" w:sz="0" w:space="0" w:color="auto"/>
        <w:left w:val="none" w:sz="0" w:space="0" w:color="auto"/>
        <w:bottom w:val="none" w:sz="0" w:space="0" w:color="auto"/>
        <w:right w:val="none" w:sz="0" w:space="0" w:color="auto"/>
      </w:divBdr>
      <w:divsChild>
        <w:div w:id="1393191307">
          <w:marLeft w:val="0"/>
          <w:marRight w:val="0"/>
          <w:marTop w:val="0"/>
          <w:marBottom w:val="0"/>
          <w:divBdr>
            <w:top w:val="none" w:sz="0" w:space="0" w:color="auto"/>
            <w:left w:val="none" w:sz="0" w:space="0" w:color="auto"/>
            <w:bottom w:val="none" w:sz="0" w:space="0" w:color="auto"/>
            <w:right w:val="none" w:sz="0" w:space="0" w:color="auto"/>
          </w:divBdr>
          <w:divsChild>
            <w:div w:id="2053993075">
              <w:marLeft w:val="0"/>
              <w:marRight w:val="0"/>
              <w:marTop w:val="0"/>
              <w:marBottom w:val="0"/>
              <w:divBdr>
                <w:top w:val="none" w:sz="0" w:space="0" w:color="auto"/>
                <w:left w:val="none" w:sz="0" w:space="0" w:color="auto"/>
                <w:bottom w:val="none" w:sz="0" w:space="0" w:color="auto"/>
                <w:right w:val="none" w:sz="0" w:space="0" w:color="auto"/>
              </w:divBdr>
              <w:divsChild>
                <w:div w:id="724185168">
                  <w:marLeft w:val="0"/>
                  <w:marRight w:val="0"/>
                  <w:marTop w:val="0"/>
                  <w:marBottom w:val="0"/>
                  <w:divBdr>
                    <w:top w:val="none" w:sz="0" w:space="0" w:color="auto"/>
                    <w:left w:val="none" w:sz="0" w:space="0" w:color="auto"/>
                    <w:bottom w:val="none" w:sz="0" w:space="0" w:color="auto"/>
                    <w:right w:val="none" w:sz="0" w:space="0" w:color="auto"/>
                  </w:divBdr>
                  <w:divsChild>
                    <w:div w:id="1610354977">
                      <w:marLeft w:val="0"/>
                      <w:marRight w:val="0"/>
                      <w:marTop w:val="0"/>
                      <w:marBottom w:val="0"/>
                      <w:divBdr>
                        <w:top w:val="none" w:sz="0" w:space="0" w:color="auto"/>
                        <w:left w:val="none" w:sz="0" w:space="0" w:color="auto"/>
                        <w:bottom w:val="none" w:sz="0" w:space="0" w:color="auto"/>
                        <w:right w:val="none" w:sz="0" w:space="0" w:color="auto"/>
                      </w:divBdr>
                      <w:divsChild>
                        <w:div w:id="165439394">
                          <w:marLeft w:val="0"/>
                          <w:marRight w:val="0"/>
                          <w:marTop w:val="0"/>
                          <w:marBottom w:val="0"/>
                          <w:divBdr>
                            <w:top w:val="none" w:sz="0" w:space="0" w:color="auto"/>
                            <w:left w:val="none" w:sz="0" w:space="0" w:color="auto"/>
                            <w:bottom w:val="none" w:sz="0" w:space="0" w:color="auto"/>
                            <w:right w:val="none" w:sz="0" w:space="0" w:color="auto"/>
                          </w:divBdr>
                          <w:divsChild>
                            <w:div w:id="1428111335">
                              <w:marLeft w:val="0"/>
                              <w:marRight w:val="0"/>
                              <w:marTop w:val="0"/>
                              <w:marBottom w:val="0"/>
                              <w:divBdr>
                                <w:top w:val="none" w:sz="0" w:space="0" w:color="auto"/>
                                <w:left w:val="none" w:sz="0" w:space="0" w:color="auto"/>
                                <w:bottom w:val="none" w:sz="0" w:space="0" w:color="auto"/>
                                <w:right w:val="none" w:sz="0" w:space="0" w:color="auto"/>
                              </w:divBdr>
                              <w:divsChild>
                                <w:div w:id="1528375257">
                                  <w:marLeft w:val="0"/>
                                  <w:marRight w:val="0"/>
                                  <w:marTop w:val="0"/>
                                  <w:marBottom w:val="0"/>
                                  <w:divBdr>
                                    <w:top w:val="none" w:sz="0" w:space="0" w:color="auto"/>
                                    <w:left w:val="none" w:sz="0" w:space="0" w:color="auto"/>
                                    <w:bottom w:val="none" w:sz="0" w:space="0" w:color="auto"/>
                                    <w:right w:val="none" w:sz="0" w:space="0" w:color="auto"/>
                                  </w:divBdr>
                                  <w:divsChild>
                                    <w:div w:id="222133786">
                                      <w:marLeft w:val="0"/>
                                      <w:marRight w:val="0"/>
                                      <w:marTop w:val="0"/>
                                      <w:marBottom w:val="0"/>
                                      <w:divBdr>
                                        <w:top w:val="none" w:sz="0" w:space="0" w:color="auto"/>
                                        <w:left w:val="none" w:sz="0" w:space="0" w:color="auto"/>
                                        <w:bottom w:val="none" w:sz="0" w:space="0" w:color="auto"/>
                                        <w:right w:val="none" w:sz="0" w:space="0" w:color="auto"/>
                                      </w:divBdr>
                                      <w:divsChild>
                                        <w:div w:id="307520729">
                                          <w:marLeft w:val="0"/>
                                          <w:marRight w:val="0"/>
                                          <w:marTop w:val="0"/>
                                          <w:marBottom w:val="0"/>
                                          <w:divBdr>
                                            <w:top w:val="none" w:sz="0" w:space="0" w:color="auto"/>
                                            <w:left w:val="none" w:sz="0" w:space="0" w:color="auto"/>
                                            <w:bottom w:val="none" w:sz="0" w:space="0" w:color="auto"/>
                                            <w:right w:val="none" w:sz="0" w:space="0" w:color="auto"/>
                                          </w:divBdr>
                                          <w:divsChild>
                                            <w:div w:id="962879985">
                                              <w:marLeft w:val="0"/>
                                              <w:marRight w:val="0"/>
                                              <w:marTop w:val="0"/>
                                              <w:marBottom w:val="0"/>
                                              <w:divBdr>
                                                <w:top w:val="none" w:sz="0" w:space="0" w:color="auto"/>
                                                <w:left w:val="none" w:sz="0" w:space="0" w:color="auto"/>
                                                <w:bottom w:val="none" w:sz="0" w:space="0" w:color="auto"/>
                                                <w:right w:val="none" w:sz="0" w:space="0" w:color="auto"/>
                                              </w:divBdr>
                                              <w:divsChild>
                                                <w:div w:id="1590964946">
                                                  <w:marLeft w:val="0"/>
                                                  <w:marRight w:val="0"/>
                                                  <w:marTop w:val="0"/>
                                                  <w:marBottom w:val="0"/>
                                                  <w:divBdr>
                                                    <w:top w:val="none" w:sz="0" w:space="0" w:color="auto"/>
                                                    <w:left w:val="none" w:sz="0" w:space="0" w:color="auto"/>
                                                    <w:bottom w:val="none" w:sz="0" w:space="0" w:color="auto"/>
                                                    <w:right w:val="none" w:sz="0" w:space="0" w:color="auto"/>
                                                  </w:divBdr>
                                                  <w:divsChild>
                                                    <w:div w:id="11019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458032">
      <w:bodyDiv w:val="1"/>
      <w:marLeft w:val="0"/>
      <w:marRight w:val="0"/>
      <w:marTop w:val="0"/>
      <w:marBottom w:val="0"/>
      <w:divBdr>
        <w:top w:val="none" w:sz="0" w:space="0" w:color="auto"/>
        <w:left w:val="none" w:sz="0" w:space="0" w:color="auto"/>
        <w:bottom w:val="none" w:sz="0" w:space="0" w:color="auto"/>
        <w:right w:val="none" w:sz="0" w:space="0" w:color="auto"/>
      </w:divBdr>
      <w:divsChild>
        <w:div w:id="411708378">
          <w:marLeft w:val="0"/>
          <w:marRight w:val="0"/>
          <w:marTop w:val="0"/>
          <w:marBottom w:val="0"/>
          <w:divBdr>
            <w:top w:val="none" w:sz="0" w:space="0" w:color="auto"/>
            <w:left w:val="none" w:sz="0" w:space="0" w:color="auto"/>
            <w:bottom w:val="none" w:sz="0" w:space="0" w:color="auto"/>
            <w:right w:val="none" w:sz="0" w:space="0" w:color="auto"/>
          </w:divBdr>
        </w:div>
        <w:div w:id="2058435229">
          <w:marLeft w:val="0"/>
          <w:marRight w:val="0"/>
          <w:marTop w:val="0"/>
          <w:marBottom w:val="0"/>
          <w:divBdr>
            <w:top w:val="none" w:sz="0" w:space="0" w:color="auto"/>
            <w:left w:val="none" w:sz="0" w:space="0" w:color="auto"/>
            <w:bottom w:val="none" w:sz="0" w:space="0" w:color="auto"/>
            <w:right w:val="none" w:sz="0" w:space="0" w:color="auto"/>
          </w:divBdr>
        </w:div>
        <w:div w:id="2081824059">
          <w:marLeft w:val="0"/>
          <w:marRight w:val="0"/>
          <w:marTop w:val="0"/>
          <w:marBottom w:val="0"/>
          <w:divBdr>
            <w:top w:val="none" w:sz="0" w:space="0" w:color="auto"/>
            <w:left w:val="none" w:sz="0" w:space="0" w:color="auto"/>
            <w:bottom w:val="none" w:sz="0" w:space="0" w:color="auto"/>
            <w:right w:val="none" w:sz="0" w:space="0" w:color="auto"/>
          </w:divBdr>
        </w:div>
        <w:div w:id="516967516">
          <w:marLeft w:val="0"/>
          <w:marRight w:val="0"/>
          <w:marTop w:val="0"/>
          <w:marBottom w:val="0"/>
          <w:divBdr>
            <w:top w:val="none" w:sz="0" w:space="0" w:color="auto"/>
            <w:left w:val="none" w:sz="0" w:space="0" w:color="auto"/>
            <w:bottom w:val="none" w:sz="0" w:space="0" w:color="auto"/>
            <w:right w:val="none" w:sz="0" w:space="0" w:color="auto"/>
          </w:divBdr>
        </w:div>
        <w:div w:id="117140537">
          <w:marLeft w:val="0"/>
          <w:marRight w:val="0"/>
          <w:marTop w:val="0"/>
          <w:marBottom w:val="0"/>
          <w:divBdr>
            <w:top w:val="none" w:sz="0" w:space="0" w:color="auto"/>
            <w:left w:val="none" w:sz="0" w:space="0" w:color="auto"/>
            <w:bottom w:val="none" w:sz="0" w:space="0" w:color="auto"/>
            <w:right w:val="none" w:sz="0" w:space="0" w:color="auto"/>
          </w:divBdr>
        </w:div>
        <w:div w:id="1936209381">
          <w:marLeft w:val="0"/>
          <w:marRight w:val="0"/>
          <w:marTop w:val="0"/>
          <w:marBottom w:val="0"/>
          <w:divBdr>
            <w:top w:val="none" w:sz="0" w:space="0" w:color="auto"/>
            <w:left w:val="none" w:sz="0" w:space="0" w:color="auto"/>
            <w:bottom w:val="none" w:sz="0" w:space="0" w:color="auto"/>
            <w:right w:val="none" w:sz="0" w:space="0" w:color="auto"/>
          </w:divBdr>
        </w:div>
      </w:divsChild>
    </w:div>
    <w:div w:id="859929604">
      <w:bodyDiv w:val="1"/>
      <w:marLeft w:val="0"/>
      <w:marRight w:val="0"/>
      <w:marTop w:val="0"/>
      <w:marBottom w:val="0"/>
      <w:divBdr>
        <w:top w:val="none" w:sz="0" w:space="0" w:color="auto"/>
        <w:left w:val="none" w:sz="0" w:space="0" w:color="auto"/>
        <w:bottom w:val="none" w:sz="0" w:space="0" w:color="auto"/>
        <w:right w:val="none" w:sz="0" w:space="0" w:color="auto"/>
      </w:divBdr>
    </w:div>
    <w:div w:id="1146554343">
      <w:bodyDiv w:val="1"/>
      <w:marLeft w:val="0"/>
      <w:marRight w:val="0"/>
      <w:marTop w:val="0"/>
      <w:marBottom w:val="0"/>
      <w:divBdr>
        <w:top w:val="none" w:sz="0" w:space="0" w:color="auto"/>
        <w:left w:val="none" w:sz="0" w:space="0" w:color="auto"/>
        <w:bottom w:val="none" w:sz="0" w:space="0" w:color="auto"/>
        <w:right w:val="none" w:sz="0" w:space="0" w:color="auto"/>
      </w:divBdr>
    </w:div>
    <w:div w:id="19853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F12C-704A-4742-A98A-7C794260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RNDVCSH</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ovidiu</dc:creator>
  <cp:lastModifiedBy>author</cp:lastModifiedBy>
  <cp:revision>3</cp:revision>
  <cp:lastPrinted>2026-05-14T10:37:00Z</cp:lastPrinted>
  <dcterms:created xsi:type="dcterms:W3CDTF">2026-05-18T08:33:00Z</dcterms:created>
  <dcterms:modified xsi:type="dcterms:W3CDTF">2026-05-18T13:52:00Z</dcterms:modified>
</cp:coreProperties>
</file>